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nts/font1.odttf" ContentType="application/vnd.openxmlformats-officedocument.obfuscatedFont"/>
  <Override PartName="/word/fonts/font2.odttf" ContentType="application/vnd.openxmlformats-officedocument.obfuscatedFont"/>
  <Override PartName="/word/fonts/font3.odttf" ContentType="application/vnd.openxmlformats-officedocument.obfuscatedFont"/>
  <Override PartName="/word/fonts/font4.odttf" ContentType="application/vnd.openxmlformats-officedocument.obfuscatedFont"/>
  <Override PartName="/word/fonts/font5.odttf" ContentType="application/vnd.openxmlformats-officedocument.obfuscatedFont"/>
  <Override PartName="/word/fonts/font6.odttf" ContentType="application/vnd.openxmlformats-officedocument.obfuscatedFont"/>
  <Override PartName="/word/fonts/font7.odttf" ContentType="application/vnd.openxmlformats-officedocument.obfuscatedFont"/>
  <Override PartName="/word/fonts/font8.odttf" ContentType="application/vnd.openxmlformats-officedocument.obfuscatedFont"/>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6392FD6D">
      <w:pPr>
        <w:jc w:val="left"/>
        <w:rPr>
          <w:rFonts w:ascii="Times New Roman" w:hAnsi="Times New Roman"/>
          <w:color w:val="auto"/>
        </w:rPr>
      </w:pPr>
      <w:r>
        <w:rPr>
          <w:rFonts w:hint="eastAsia" w:ascii="Times New Roman" w:hAnsi="Times New Roman"/>
          <w:color w:val="auto"/>
          <w:sz w:val="24"/>
        </w:rPr>
        <w:t xml:space="preserve"> </w:t>
      </w:r>
    </w:p>
    <w:p w14:paraId="19111C8F">
      <w:pPr>
        <w:widowControl/>
        <w:spacing w:line="500" w:lineRule="atLeast"/>
        <w:jc w:val="center"/>
        <w:rPr>
          <w:rFonts w:ascii="Times New Roman" w:hAnsi="Times New Roman"/>
          <w:color w:val="auto"/>
          <w:sz w:val="24"/>
        </w:rPr>
      </w:pPr>
    </w:p>
    <w:p w14:paraId="40816B3F">
      <w:pPr>
        <w:pStyle w:val="2"/>
        <w:rPr>
          <w:rFonts w:ascii="Times New Roman" w:hAnsi="Times New Roman"/>
          <w:color w:val="auto"/>
        </w:rPr>
      </w:pPr>
    </w:p>
    <w:p w14:paraId="3FFC2CCC">
      <w:pPr>
        <w:pStyle w:val="2"/>
        <w:spacing w:after="0" w:line="500" w:lineRule="atLeast"/>
        <w:jc w:val="center"/>
        <w:rPr>
          <w:rFonts w:ascii="Times New Roman" w:hAnsi="Times New Roman"/>
          <w:b/>
          <w:bCs/>
          <w:color w:val="auto"/>
          <w:sz w:val="48"/>
          <w:szCs w:val="48"/>
          <w:u w:val="single"/>
        </w:rPr>
      </w:pPr>
      <w:bookmarkStart w:id="0" w:name="_Toc16113_WPSOffice_Type1"/>
    </w:p>
    <w:p w14:paraId="484F70F1">
      <w:pPr>
        <w:pStyle w:val="2"/>
        <w:spacing w:after="0" w:line="500" w:lineRule="atLeast"/>
        <w:jc w:val="center"/>
        <w:rPr>
          <w:rFonts w:ascii="Times New Roman" w:hAnsi="Times New Roman"/>
          <w:color w:val="auto"/>
          <w:szCs w:val="21"/>
        </w:rPr>
      </w:pPr>
      <w:r>
        <w:rPr>
          <w:rFonts w:hint="eastAsia" w:ascii="Times New Roman" w:hAnsi="Times New Roman"/>
          <w:b/>
          <w:bCs/>
          <w:color w:val="auto"/>
          <w:sz w:val="48"/>
          <w:szCs w:val="48"/>
          <w:u w:val="single"/>
        </w:rPr>
        <w:t>深圳安联尚璟府项目阶段性软装家装类框架采购（2025年度）</w:t>
      </w:r>
    </w:p>
    <w:p w14:paraId="2AAC976F">
      <w:pPr>
        <w:spacing w:line="500" w:lineRule="atLeast"/>
        <w:ind w:firstLine="420"/>
        <w:rPr>
          <w:rFonts w:ascii="Times New Roman" w:hAnsi="Times New Roman"/>
          <w:color w:val="auto"/>
          <w:szCs w:val="21"/>
        </w:rPr>
      </w:pPr>
    </w:p>
    <w:p w14:paraId="3A3A348C">
      <w:pPr>
        <w:spacing w:line="500" w:lineRule="atLeast"/>
        <w:jc w:val="center"/>
        <w:rPr>
          <w:rStyle w:val="23"/>
          <w:rFonts w:ascii="Segoe UI" w:hAnsi="Segoe UI" w:cs="Segoe UI"/>
          <w:color w:val="auto"/>
          <w:sz w:val="24"/>
        </w:rPr>
      </w:pPr>
      <w:r>
        <w:rPr>
          <w:rStyle w:val="23"/>
          <w:rFonts w:hint="eastAsia" w:ascii="Segoe UI" w:hAnsi="Segoe UI" w:cs="Segoe UI"/>
          <w:color w:val="auto"/>
          <w:sz w:val="24"/>
        </w:rPr>
        <w:t xml:space="preserve"> </w:t>
      </w:r>
    </w:p>
    <w:p w14:paraId="65FEB3AD">
      <w:pPr>
        <w:pStyle w:val="2"/>
        <w:rPr>
          <w:color w:val="auto"/>
        </w:rPr>
      </w:pPr>
    </w:p>
    <w:p w14:paraId="773FE55C">
      <w:pPr>
        <w:spacing w:line="500" w:lineRule="atLeast"/>
        <w:jc w:val="center"/>
        <w:rPr>
          <w:rFonts w:ascii="Times New Roman" w:hAnsi="Times New Roman" w:eastAsia="黑体"/>
          <w:color w:val="auto"/>
          <w:sz w:val="72"/>
          <w:szCs w:val="72"/>
        </w:rPr>
      </w:pPr>
      <w:r>
        <w:rPr>
          <w:rFonts w:ascii="Times New Roman" w:hAnsi="Times New Roman" w:eastAsia="方正小标宋简体"/>
          <w:color w:val="auto"/>
          <w:sz w:val="72"/>
          <w:szCs w:val="72"/>
        </w:rPr>
        <w:t>询  比  文  件</w:t>
      </w:r>
    </w:p>
    <w:p w14:paraId="694F01BD">
      <w:pPr>
        <w:spacing w:line="500" w:lineRule="atLeast"/>
        <w:ind w:firstLine="420"/>
        <w:rPr>
          <w:rFonts w:ascii="Times New Roman" w:hAnsi="Times New Roman"/>
          <w:color w:val="auto"/>
          <w:szCs w:val="21"/>
        </w:rPr>
      </w:pPr>
    </w:p>
    <w:p w14:paraId="1702B1AA">
      <w:pPr>
        <w:spacing w:line="500" w:lineRule="atLeast"/>
        <w:ind w:firstLine="420"/>
        <w:rPr>
          <w:rFonts w:ascii="Times New Roman" w:hAnsi="Times New Roman"/>
          <w:color w:val="auto"/>
          <w:szCs w:val="21"/>
        </w:rPr>
      </w:pPr>
    </w:p>
    <w:p w14:paraId="5D667FDA">
      <w:pPr>
        <w:spacing w:line="500" w:lineRule="atLeast"/>
        <w:ind w:firstLine="420"/>
        <w:rPr>
          <w:rFonts w:ascii="Times New Roman" w:hAnsi="Times New Roman"/>
          <w:color w:val="auto"/>
          <w:szCs w:val="21"/>
        </w:rPr>
      </w:pPr>
    </w:p>
    <w:p w14:paraId="4043B7C5">
      <w:pPr>
        <w:spacing w:line="500" w:lineRule="atLeast"/>
        <w:ind w:firstLine="420"/>
        <w:rPr>
          <w:rFonts w:ascii="Times New Roman" w:hAnsi="Times New Roman"/>
          <w:color w:val="auto"/>
          <w:szCs w:val="21"/>
        </w:rPr>
      </w:pPr>
    </w:p>
    <w:p w14:paraId="00EDD7CA">
      <w:pPr>
        <w:spacing w:line="500" w:lineRule="atLeast"/>
        <w:ind w:firstLine="420"/>
        <w:rPr>
          <w:rFonts w:ascii="Times New Roman" w:hAnsi="Times New Roman"/>
          <w:color w:val="auto"/>
          <w:szCs w:val="21"/>
        </w:rPr>
      </w:pPr>
    </w:p>
    <w:p w14:paraId="3F7BFDFB">
      <w:pPr>
        <w:spacing w:line="500" w:lineRule="atLeast"/>
        <w:rPr>
          <w:rFonts w:ascii="Times New Roman" w:hAnsi="Times New Roman"/>
          <w:color w:val="auto"/>
          <w:szCs w:val="21"/>
        </w:rPr>
      </w:pPr>
    </w:p>
    <w:p w14:paraId="12CB565C">
      <w:pPr>
        <w:pStyle w:val="2"/>
        <w:rPr>
          <w:rFonts w:ascii="Times New Roman" w:hAnsi="Times New Roman"/>
          <w:color w:val="auto"/>
        </w:rPr>
      </w:pPr>
    </w:p>
    <w:p w14:paraId="1DBCD400">
      <w:pPr>
        <w:snapToGrid w:val="0"/>
        <w:spacing w:line="500" w:lineRule="atLeast"/>
        <w:jc w:val="center"/>
        <w:rPr>
          <w:rFonts w:ascii="Times New Roman" w:hAnsi="Times New Roman" w:eastAsia="黑体"/>
          <w:color w:val="auto"/>
          <w:sz w:val="32"/>
          <w:szCs w:val="32"/>
        </w:rPr>
      </w:pPr>
      <w:r>
        <w:rPr>
          <w:rFonts w:ascii="Times New Roman" w:hAnsi="Times New Roman" w:eastAsia="黑体"/>
          <w:color w:val="auto"/>
          <w:sz w:val="32"/>
          <w:szCs w:val="32"/>
        </w:rPr>
        <w:t>采 购 人：</w:t>
      </w:r>
      <w:r>
        <w:rPr>
          <w:rFonts w:hint="eastAsia" w:ascii="Times New Roman" w:hAnsi="Times New Roman" w:eastAsia="黑体"/>
          <w:color w:val="auto"/>
          <w:sz w:val="32"/>
          <w:szCs w:val="32"/>
          <w:u w:val="single"/>
        </w:rPr>
        <w:t>深圳市安之联置业有限公司</w:t>
      </w:r>
    </w:p>
    <w:p w14:paraId="701DCFE6">
      <w:pPr>
        <w:snapToGrid w:val="0"/>
        <w:spacing w:line="500" w:lineRule="atLeast"/>
        <w:ind w:left="1896" w:leftChars="903"/>
        <w:rPr>
          <w:rFonts w:ascii="Times New Roman" w:hAnsi="Times New Roman"/>
          <w:color w:val="auto"/>
          <w:sz w:val="32"/>
          <w:szCs w:val="32"/>
        </w:rPr>
      </w:pPr>
      <w:r>
        <w:rPr>
          <w:rFonts w:ascii="Times New Roman" w:hAnsi="Times New Roman"/>
          <w:color w:val="auto"/>
          <w:sz w:val="32"/>
          <w:szCs w:val="32"/>
        </w:rPr>
        <w:t xml:space="preserve"> </w:t>
      </w:r>
    </w:p>
    <w:p w14:paraId="42BDAAD5">
      <w:pPr>
        <w:snapToGrid w:val="0"/>
        <w:spacing w:line="500" w:lineRule="atLeast"/>
        <w:ind w:left="1896" w:leftChars="903"/>
        <w:rPr>
          <w:rFonts w:ascii="Times New Roman" w:hAnsi="Times New Roman"/>
          <w:color w:val="auto"/>
          <w:sz w:val="32"/>
          <w:szCs w:val="32"/>
        </w:rPr>
      </w:pPr>
      <w:r>
        <w:rPr>
          <w:rFonts w:ascii="Times New Roman" w:hAnsi="Times New Roman" w:eastAsia="黑体"/>
          <w:color w:val="auto"/>
          <w:sz w:val="32"/>
          <w:szCs w:val="32"/>
        </w:rPr>
        <w:t>日   期</w:t>
      </w:r>
      <w:r>
        <w:rPr>
          <w:rFonts w:ascii="Times New Roman" w:hAnsi="Times New Roman"/>
          <w:color w:val="auto"/>
          <w:sz w:val="32"/>
          <w:szCs w:val="32"/>
        </w:rPr>
        <w:t>：</w:t>
      </w:r>
      <w:r>
        <w:rPr>
          <w:rFonts w:ascii="Times New Roman" w:hAnsi="Times New Roman" w:eastAsia="黑体"/>
          <w:color w:val="auto"/>
          <w:sz w:val="32"/>
          <w:szCs w:val="32"/>
          <w:u w:val="single"/>
        </w:rPr>
        <w:t>202</w:t>
      </w:r>
      <w:r>
        <w:rPr>
          <w:rFonts w:hint="eastAsia" w:ascii="Times New Roman" w:hAnsi="Times New Roman" w:eastAsia="黑体"/>
          <w:color w:val="auto"/>
          <w:sz w:val="32"/>
          <w:szCs w:val="32"/>
          <w:u w:val="single"/>
        </w:rPr>
        <w:t>5</w:t>
      </w:r>
      <w:r>
        <w:rPr>
          <w:rFonts w:ascii="Times New Roman" w:hAnsi="Times New Roman"/>
          <w:color w:val="auto"/>
          <w:sz w:val="32"/>
          <w:szCs w:val="32"/>
        </w:rPr>
        <w:t>年</w:t>
      </w:r>
      <w:r>
        <w:rPr>
          <w:rFonts w:hint="eastAsia" w:ascii="Times New Roman" w:hAnsi="Times New Roman" w:eastAsia="黑体"/>
          <w:color w:val="auto"/>
          <w:sz w:val="32"/>
          <w:szCs w:val="32"/>
          <w:u w:val="single"/>
        </w:rPr>
        <w:t>3</w:t>
      </w:r>
      <w:r>
        <w:rPr>
          <w:rFonts w:ascii="Times New Roman" w:hAnsi="Times New Roman"/>
          <w:color w:val="auto"/>
          <w:sz w:val="32"/>
          <w:szCs w:val="32"/>
        </w:rPr>
        <w:t>月</w:t>
      </w:r>
      <w:r>
        <w:rPr>
          <w:rFonts w:hint="eastAsia" w:ascii="Times New Roman" w:hAnsi="Times New Roman"/>
          <w:color w:val="auto"/>
          <w:sz w:val="32"/>
          <w:szCs w:val="32"/>
          <w:u w:val="single"/>
        </w:rPr>
        <w:t>2</w:t>
      </w:r>
      <w:r>
        <w:rPr>
          <w:rFonts w:hint="eastAsia" w:ascii="Times New Roman" w:hAnsi="Times New Roman"/>
          <w:color w:val="auto"/>
          <w:sz w:val="32"/>
          <w:szCs w:val="32"/>
          <w:u w:val="single"/>
          <w:lang w:val="en-US" w:eastAsia="zh-CN"/>
        </w:rPr>
        <w:t>5</w:t>
      </w:r>
      <w:r>
        <w:rPr>
          <w:rFonts w:ascii="Times New Roman" w:hAnsi="Times New Roman"/>
          <w:color w:val="auto"/>
          <w:sz w:val="32"/>
          <w:szCs w:val="32"/>
        </w:rPr>
        <w:t>日</w:t>
      </w:r>
    </w:p>
    <w:p w14:paraId="014F8606">
      <w:pPr>
        <w:jc w:val="center"/>
        <w:rPr>
          <w:rFonts w:ascii="Times New Roman" w:hAnsi="Times New Roman" w:eastAsia="仿宋_GB2312"/>
          <w:color w:val="auto"/>
          <w:sz w:val="32"/>
          <w:szCs w:val="32"/>
        </w:rPr>
      </w:pPr>
    </w:p>
    <w:p w14:paraId="62D54315">
      <w:pPr>
        <w:rPr>
          <w:rFonts w:ascii="Times New Roman" w:hAnsi="Times New Roman" w:eastAsia="仿宋_GB2312"/>
          <w:color w:val="auto"/>
          <w:sz w:val="32"/>
          <w:szCs w:val="32"/>
        </w:rPr>
      </w:pPr>
    </w:p>
    <w:p w14:paraId="2A7B7198">
      <w:pPr>
        <w:jc w:val="center"/>
        <w:rPr>
          <w:rFonts w:ascii="Times New Roman" w:hAnsi="Times New Roman" w:eastAsia="仿宋_GB2312"/>
          <w:color w:val="auto"/>
          <w:sz w:val="32"/>
          <w:szCs w:val="32"/>
        </w:rPr>
        <w:sectPr>
          <w:headerReference r:id="rId3" w:type="default"/>
          <w:footerReference r:id="rId4" w:type="default"/>
          <w:pgSz w:w="11906" w:h="16838"/>
          <w:pgMar w:top="1440" w:right="1800" w:bottom="1440" w:left="1800" w:header="851" w:footer="992" w:gutter="0"/>
          <w:cols w:space="720" w:num="1"/>
          <w:docGrid w:type="lines" w:linePitch="312" w:charSpace="0"/>
        </w:sectPr>
      </w:pPr>
    </w:p>
    <w:p w14:paraId="5CC1A7EA">
      <w:pPr>
        <w:jc w:val="center"/>
        <w:rPr>
          <w:rFonts w:ascii="Times New Roman" w:hAnsi="Times New Roman" w:eastAsia="仿宋_GB2312"/>
          <w:color w:val="auto"/>
          <w:sz w:val="32"/>
          <w:szCs w:val="32"/>
        </w:rPr>
      </w:pPr>
      <w:r>
        <w:rPr>
          <w:rFonts w:ascii="Times New Roman" w:hAnsi="Times New Roman" w:eastAsia="仿宋_GB2312"/>
          <w:color w:val="auto"/>
          <w:sz w:val="32"/>
          <w:szCs w:val="32"/>
        </w:rPr>
        <w:t>目  录</w:t>
      </w:r>
    </w:p>
    <w:bookmarkEnd w:id="0"/>
    <w:p w14:paraId="0C5391BB">
      <w:pPr>
        <w:pStyle w:val="15"/>
        <w:tabs>
          <w:tab w:val="right" w:leader="dot" w:pos="8306"/>
        </w:tabs>
        <w:rPr>
          <w:rFonts w:ascii="Times New Roman" w:hAnsi="Times New Roman" w:cs="Times New Roman"/>
          <w:b w:val="0"/>
          <w:color w:val="auto"/>
        </w:rPr>
      </w:pPr>
      <w:r>
        <w:rPr>
          <w:rFonts w:ascii="Times New Roman" w:hAnsi="Times New Roman" w:cs="Times New Roman"/>
          <w:b w:val="0"/>
          <w:color w:val="auto"/>
          <w:sz w:val="32"/>
          <w:szCs w:val="32"/>
        </w:rPr>
        <w:fldChar w:fldCharType="begin"/>
      </w:r>
      <w:r>
        <w:rPr>
          <w:rFonts w:ascii="Times New Roman" w:hAnsi="Times New Roman" w:cs="Times New Roman"/>
          <w:b w:val="0"/>
          <w:color w:val="auto"/>
          <w:sz w:val="32"/>
          <w:szCs w:val="32"/>
        </w:rPr>
        <w:instrText xml:space="preserve">TOC \o "1-1" \h \u </w:instrText>
      </w:r>
      <w:r>
        <w:rPr>
          <w:rFonts w:ascii="Times New Roman" w:hAnsi="Times New Roman" w:cs="Times New Roman"/>
          <w:b w:val="0"/>
          <w:color w:val="auto"/>
          <w:sz w:val="32"/>
          <w:szCs w:val="32"/>
        </w:rPr>
        <w:fldChar w:fldCharType="separate"/>
      </w:r>
      <w:r>
        <w:rPr>
          <w:color w:val="auto"/>
        </w:rPr>
        <w:fldChar w:fldCharType="begin"/>
      </w:r>
      <w:r>
        <w:rPr>
          <w:color w:val="auto"/>
        </w:rPr>
        <w:instrText xml:space="preserve"> HYPERLINK \l "_Toc22139" </w:instrText>
      </w:r>
      <w:r>
        <w:rPr>
          <w:color w:val="auto"/>
        </w:rPr>
        <w:fldChar w:fldCharType="separate"/>
      </w:r>
      <w:r>
        <w:rPr>
          <w:rFonts w:ascii="Times New Roman" w:hAnsi="Times New Roman" w:eastAsia="方正小标宋_GBK" w:cs="Times New Roman"/>
          <w:b w:val="0"/>
          <w:color w:val="auto"/>
        </w:rPr>
        <w:t>第一章 采购公告</w:t>
      </w:r>
      <w:r>
        <w:rPr>
          <w:rFonts w:ascii="Times New Roman" w:hAnsi="Times New Roman" w:cs="Times New Roman"/>
          <w:b w:val="0"/>
          <w:color w:val="auto"/>
        </w:rPr>
        <w:tab/>
      </w:r>
      <w:r>
        <w:rPr>
          <w:rFonts w:ascii="Times New Roman" w:hAnsi="Times New Roman" w:cs="Times New Roman"/>
          <w:b w:val="0"/>
          <w:color w:val="auto"/>
        </w:rPr>
        <w:fldChar w:fldCharType="begin"/>
      </w:r>
      <w:r>
        <w:rPr>
          <w:rFonts w:ascii="Times New Roman" w:hAnsi="Times New Roman" w:cs="Times New Roman"/>
          <w:b w:val="0"/>
          <w:color w:val="auto"/>
        </w:rPr>
        <w:instrText xml:space="preserve"> PAGEREF _Toc22139 \h </w:instrText>
      </w:r>
      <w:r>
        <w:rPr>
          <w:rFonts w:ascii="Times New Roman" w:hAnsi="Times New Roman" w:cs="Times New Roman"/>
          <w:b w:val="0"/>
          <w:color w:val="auto"/>
        </w:rPr>
        <w:fldChar w:fldCharType="separate"/>
      </w:r>
      <w:r>
        <w:rPr>
          <w:rFonts w:ascii="Times New Roman" w:hAnsi="Times New Roman" w:cs="Times New Roman"/>
          <w:b w:val="0"/>
          <w:color w:val="auto"/>
        </w:rPr>
        <w:t>3</w:t>
      </w:r>
      <w:r>
        <w:rPr>
          <w:rFonts w:ascii="Times New Roman" w:hAnsi="Times New Roman" w:cs="Times New Roman"/>
          <w:b w:val="0"/>
          <w:color w:val="auto"/>
        </w:rPr>
        <w:fldChar w:fldCharType="end"/>
      </w:r>
      <w:r>
        <w:rPr>
          <w:rFonts w:ascii="Times New Roman" w:hAnsi="Times New Roman" w:cs="Times New Roman"/>
          <w:b w:val="0"/>
          <w:color w:val="auto"/>
        </w:rPr>
        <w:fldChar w:fldCharType="end"/>
      </w:r>
    </w:p>
    <w:p w14:paraId="7D0A5E9D">
      <w:pPr>
        <w:pStyle w:val="15"/>
        <w:tabs>
          <w:tab w:val="right" w:leader="dot" w:pos="8306"/>
        </w:tabs>
        <w:rPr>
          <w:rFonts w:ascii="Times New Roman" w:hAnsi="Times New Roman" w:cs="Times New Roman"/>
          <w:b w:val="0"/>
          <w:color w:val="auto"/>
        </w:rPr>
      </w:pPr>
      <w:r>
        <w:rPr>
          <w:color w:val="auto"/>
        </w:rPr>
        <w:fldChar w:fldCharType="begin"/>
      </w:r>
      <w:r>
        <w:rPr>
          <w:color w:val="auto"/>
        </w:rPr>
        <w:instrText xml:space="preserve"> HYPERLINK \l "_Toc6511" </w:instrText>
      </w:r>
      <w:r>
        <w:rPr>
          <w:color w:val="auto"/>
        </w:rPr>
        <w:fldChar w:fldCharType="separate"/>
      </w:r>
      <w:r>
        <w:rPr>
          <w:rFonts w:ascii="Times New Roman" w:hAnsi="Times New Roman" w:eastAsia="方正小标宋_GBK" w:cs="Times New Roman"/>
          <w:b w:val="0"/>
          <w:color w:val="auto"/>
        </w:rPr>
        <w:t>第二章 供应商须知</w:t>
      </w:r>
      <w:r>
        <w:rPr>
          <w:rFonts w:ascii="Times New Roman" w:hAnsi="Times New Roman" w:cs="Times New Roman"/>
          <w:b w:val="0"/>
          <w:color w:val="auto"/>
        </w:rPr>
        <w:tab/>
      </w:r>
      <w:r>
        <w:rPr>
          <w:rFonts w:ascii="Times New Roman" w:hAnsi="Times New Roman" w:cs="Times New Roman"/>
          <w:b w:val="0"/>
          <w:color w:val="auto"/>
        </w:rPr>
        <w:t>6</w:t>
      </w:r>
      <w:r>
        <w:rPr>
          <w:rFonts w:ascii="Times New Roman" w:hAnsi="Times New Roman" w:cs="Times New Roman"/>
          <w:b w:val="0"/>
          <w:color w:val="auto"/>
        </w:rPr>
        <w:fldChar w:fldCharType="end"/>
      </w:r>
    </w:p>
    <w:p w14:paraId="11DCA945">
      <w:pPr>
        <w:pStyle w:val="15"/>
        <w:tabs>
          <w:tab w:val="right" w:leader="dot" w:pos="8306"/>
        </w:tabs>
        <w:rPr>
          <w:rFonts w:ascii="Times New Roman" w:hAnsi="Times New Roman" w:cs="Times New Roman"/>
          <w:b w:val="0"/>
          <w:color w:val="auto"/>
        </w:rPr>
      </w:pPr>
      <w:r>
        <w:rPr>
          <w:color w:val="auto"/>
        </w:rPr>
        <w:fldChar w:fldCharType="begin"/>
      </w:r>
      <w:r>
        <w:rPr>
          <w:color w:val="auto"/>
        </w:rPr>
        <w:instrText xml:space="preserve"> HYPERLINK \l "_Toc30317" </w:instrText>
      </w:r>
      <w:r>
        <w:rPr>
          <w:color w:val="auto"/>
        </w:rPr>
        <w:fldChar w:fldCharType="separate"/>
      </w:r>
      <w:r>
        <w:rPr>
          <w:rFonts w:ascii="Times New Roman" w:hAnsi="Times New Roman" w:eastAsia="方正小标宋_GBK" w:cs="Times New Roman"/>
          <w:b w:val="0"/>
          <w:color w:val="auto"/>
          <w:szCs w:val="40"/>
        </w:rPr>
        <w:t>第三章 评审办法</w:t>
      </w:r>
      <w:r>
        <w:rPr>
          <w:rFonts w:ascii="Times New Roman" w:hAnsi="Times New Roman" w:cs="Times New Roman"/>
          <w:b w:val="0"/>
          <w:color w:val="auto"/>
        </w:rPr>
        <w:tab/>
      </w:r>
      <w:r>
        <w:rPr>
          <w:rFonts w:ascii="Times New Roman" w:hAnsi="Times New Roman" w:cs="Times New Roman"/>
          <w:b w:val="0"/>
          <w:color w:val="auto"/>
        </w:rPr>
        <w:fldChar w:fldCharType="begin"/>
      </w:r>
      <w:r>
        <w:rPr>
          <w:rFonts w:ascii="Times New Roman" w:hAnsi="Times New Roman" w:cs="Times New Roman"/>
          <w:b w:val="0"/>
          <w:color w:val="auto"/>
        </w:rPr>
        <w:instrText xml:space="preserve"> PAGEREF _Toc30317 \h </w:instrText>
      </w:r>
      <w:r>
        <w:rPr>
          <w:rFonts w:ascii="Times New Roman" w:hAnsi="Times New Roman" w:cs="Times New Roman"/>
          <w:b w:val="0"/>
          <w:color w:val="auto"/>
        </w:rPr>
        <w:fldChar w:fldCharType="separate"/>
      </w:r>
      <w:r>
        <w:rPr>
          <w:rFonts w:ascii="Times New Roman" w:hAnsi="Times New Roman" w:cs="Times New Roman"/>
          <w:b w:val="0"/>
          <w:color w:val="auto"/>
        </w:rPr>
        <w:t>16</w:t>
      </w:r>
      <w:r>
        <w:rPr>
          <w:rFonts w:ascii="Times New Roman" w:hAnsi="Times New Roman" w:cs="Times New Roman"/>
          <w:b w:val="0"/>
          <w:color w:val="auto"/>
        </w:rPr>
        <w:fldChar w:fldCharType="end"/>
      </w:r>
      <w:r>
        <w:rPr>
          <w:rFonts w:ascii="Times New Roman" w:hAnsi="Times New Roman" w:cs="Times New Roman"/>
          <w:b w:val="0"/>
          <w:color w:val="auto"/>
        </w:rPr>
        <w:fldChar w:fldCharType="end"/>
      </w:r>
    </w:p>
    <w:p w14:paraId="595675D6">
      <w:pPr>
        <w:pStyle w:val="15"/>
        <w:tabs>
          <w:tab w:val="right" w:leader="dot" w:pos="8306"/>
        </w:tabs>
        <w:rPr>
          <w:rFonts w:ascii="Times New Roman" w:hAnsi="Times New Roman" w:cs="Times New Roman"/>
          <w:b w:val="0"/>
          <w:color w:val="auto"/>
        </w:rPr>
      </w:pPr>
      <w:r>
        <w:rPr>
          <w:color w:val="auto"/>
        </w:rPr>
        <w:fldChar w:fldCharType="begin"/>
      </w:r>
      <w:r>
        <w:rPr>
          <w:color w:val="auto"/>
        </w:rPr>
        <w:instrText xml:space="preserve"> HYPERLINK \l "_Toc32284" </w:instrText>
      </w:r>
      <w:r>
        <w:rPr>
          <w:color w:val="auto"/>
        </w:rPr>
        <w:fldChar w:fldCharType="separate"/>
      </w:r>
      <w:r>
        <w:rPr>
          <w:rFonts w:ascii="Times New Roman" w:hAnsi="Times New Roman" w:eastAsia="方正小标宋_GBK" w:cs="Times New Roman"/>
          <w:b w:val="0"/>
          <w:color w:val="auto"/>
          <w:szCs w:val="40"/>
        </w:rPr>
        <w:t>第四章 合同内容</w:t>
      </w:r>
      <w:r>
        <w:rPr>
          <w:rFonts w:ascii="Times New Roman" w:hAnsi="Times New Roman" w:cs="Times New Roman"/>
          <w:b w:val="0"/>
          <w:color w:val="auto"/>
        </w:rPr>
        <w:tab/>
      </w:r>
      <w:r>
        <w:rPr>
          <w:rFonts w:ascii="Times New Roman" w:hAnsi="Times New Roman" w:cs="Times New Roman"/>
          <w:b w:val="0"/>
          <w:color w:val="auto"/>
        </w:rPr>
        <w:t>2</w:t>
      </w:r>
      <w:r>
        <w:rPr>
          <w:rFonts w:ascii="Times New Roman" w:hAnsi="Times New Roman" w:cs="Times New Roman"/>
          <w:b w:val="0"/>
          <w:color w:val="auto"/>
        </w:rPr>
        <w:fldChar w:fldCharType="end"/>
      </w:r>
      <w:r>
        <w:rPr>
          <w:rFonts w:hint="eastAsia" w:ascii="Times New Roman" w:hAnsi="Times New Roman" w:cs="Times New Roman"/>
          <w:b w:val="0"/>
          <w:color w:val="auto"/>
          <w:szCs w:val="32"/>
        </w:rPr>
        <w:t>3</w:t>
      </w:r>
    </w:p>
    <w:p w14:paraId="64F36E4D">
      <w:pPr>
        <w:pStyle w:val="15"/>
        <w:tabs>
          <w:tab w:val="right" w:leader="dot" w:pos="8306"/>
        </w:tabs>
        <w:rPr>
          <w:rFonts w:ascii="Times New Roman" w:hAnsi="Times New Roman" w:cs="Times New Roman"/>
          <w:b w:val="0"/>
          <w:color w:val="auto"/>
        </w:rPr>
      </w:pPr>
      <w:r>
        <w:rPr>
          <w:color w:val="auto"/>
        </w:rPr>
        <w:fldChar w:fldCharType="begin"/>
      </w:r>
      <w:r>
        <w:rPr>
          <w:color w:val="auto"/>
        </w:rPr>
        <w:instrText xml:space="preserve"> HYPERLINK \l "_Toc23965" </w:instrText>
      </w:r>
      <w:r>
        <w:rPr>
          <w:color w:val="auto"/>
        </w:rPr>
        <w:fldChar w:fldCharType="separate"/>
      </w:r>
      <w:r>
        <w:rPr>
          <w:rFonts w:ascii="Times New Roman" w:hAnsi="Times New Roman" w:eastAsia="方正小标宋_GBK" w:cs="Times New Roman"/>
          <w:b w:val="0"/>
          <w:color w:val="auto"/>
          <w:szCs w:val="40"/>
        </w:rPr>
        <w:t>第五章 采购需求及清单</w:t>
      </w:r>
      <w:r>
        <w:rPr>
          <w:rFonts w:ascii="Times New Roman" w:hAnsi="Times New Roman" w:cs="Times New Roman"/>
          <w:b w:val="0"/>
          <w:color w:val="auto"/>
        </w:rPr>
        <w:tab/>
      </w:r>
      <w:r>
        <w:rPr>
          <w:rFonts w:ascii="Times New Roman" w:hAnsi="Times New Roman" w:cs="Times New Roman"/>
          <w:b w:val="0"/>
          <w:color w:val="auto"/>
        </w:rPr>
        <w:fldChar w:fldCharType="end"/>
      </w:r>
      <w:r>
        <w:rPr>
          <w:rFonts w:hint="eastAsia" w:ascii="Times New Roman" w:hAnsi="Times New Roman" w:cs="Times New Roman"/>
          <w:b w:val="0"/>
          <w:color w:val="auto"/>
          <w:szCs w:val="32"/>
        </w:rPr>
        <w:t>42</w:t>
      </w:r>
    </w:p>
    <w:p w14:paraId="69DB7ED3">
      <w:pPr>
        <w:pStyle w:val="15"/>
        <w:tabs>
          <w:tab w:val="right" w:leader="dot" w:pos="8306"/>
        </w:tabs>
        <w:rPr>
          <w:rFonts w:ascii="Times New Roman" w:hAnsi="Times New Roman" w:cs="Times New Roman"/>
          <w:b w:val="0"/>
          <w:color w:val="auto"/>
        </w:rPr>
      </w:pPr>
      <w:r>
        <w:rPr>
          <w:color w:val="auto"/>
        </w:rPr>
        <w:fldChar w:fldCharType="begin"/>
      </w:r>
      <w:r>
        <w:rPr>
          <w:color w:val="auto"/>
        </w:rPr>
        <w:instrText xml:space="preserve"> HYPERLINK \l "_Toc4360" </w:instrText>
      </w:r>
      <w:r>
        <w:rPr>
          <w:color w:val="auto"/>
        </w:rPr>
        <w:fldChar w:fldCharType="separate"/>
      </w:r>
      <w:r>
        <w:rPr>
          <w:rFonts w:ascii="Times New Roman" w:hAnsi="Times New Roman" w:eastAsia="方正小标宋_GBK" w:cs="Times New Roman"/>
          <w:b w:val="0"/>
          <w:color w:val="auto"/>
          <w:szCs w:val="40"/>
        </w:rPr>
        <w:t>第六章 响应文件格式</w:t>
      </w:r>
      <w:r>
        <w:rPr>
          <w:rFonts w:ascii="Times New Roman" w:hAnsi="Times New Roman" w:cs="Times New Roman"/>
          <w:b w:val="0"/>
          <w:color w:val="auto"/>
        </w:rPr>
        <w:tab/>
      </w:r>
      <w:r>
        <w:rPr>
          <w:rFonts w:ascii="Times New Roman" w:hAnsi="Times New Roman" w:cs="Times New Roman"/>
          <w:b w:val="0"/>
          <w:color w:val="auto"/>
        </w:rPr>
        <w:t>4</w:t>
      </w:r>
      <w:r>
        <w:rPr>
          <w:rFonts w:ascii="Times New Roman" w:hAnsi="Times New Roman" w:cs="Times New Roman"/>
          <w:b w:val="0"/>
          <w:color w:val="auto"/>
        </w:rPr>
        <w:fldChar w:fldCharType="end"/>
      </w:r>
      <w:r>
        <w:rPr>
          <w:rFonts w:hint="eastAsia" w:ascii="Times New Roman" w:hAnsi="Times New Roman" w:cs="Times New Roman"/>
          <w:b w:val="0"/>
          <w:color w:val="auto"/>
          <w:szCs w:val="32"/>
        </w:rPr>
        <w:t>4</w:t>
      </w:r>
    </w:p>
    <w:p w14:paraId="249D5259">
      <w:pPr>
        <w:pStyle w:val="36"/>
        <w:tabs>
          <w:tab w:val="right" w:leader="dot" w:pos="8312"/>
        </w:tabs>
        <w:rPr>
          <w:rFonts w:ascii="Times New Roman" w:hAnsi="Times New Roman"/>
          <w:color w:val="auto"/>
          <w:sz w:val="28"/>
          <w:szCs w:val="28"/>
        </w:rPr>
      </w:pPr>
      <w:r>
        <w:rPr>
          <w:rFonts w:ascii="Times New Roman" w:hAnsi="Times New Roman"/>
          <w:bCs/>
          <w:color w:val="auto"/>
          <w:szCs w:val="32"/>
        </w:rPr>
        <w:fldChar w:fldCharType="end"/>
      </w:r>
    </w:p>
    <w:p w14:paraId="426CF72D">
      <w:pPr>
        <w:jc w:val="center"/>
        <w:rPr>
          <w:rFonts w:ascii="Times New Roman" w:hAnsi="Times New Roman"/>
          <w:color w:val="auto"/>
        </w:rPr>
      </w:pPr>
    </w:p>
    <w:p w14:paraId="695340D4">
      <w:pPr>
        <w:jc w:val="center"/>
        <w:rPr>
          <w:rFonts w:ascii="Times New Roman" w:hAnsi="Times New Roman"/>
          <w:color w:val="auto"/>
        </w:rPr>
      </w:pPr>
    </w:p>
    <w:p w14:paraId="39EAE9CB">
      <w:pPr>
        <w:jc w:val="center"/>
        <w:rPr>
          <w:rFonts w:ascii="Times New Roman" w:hAnsi="Times New Roman"/>
          <w:color w:val="auto"/>
        </w:rPr>
      </w:pPr>
    </w:p>
    <w:p w14:paraId="0417F65A">
      <w:pPr>
        <w:spacing w:line="20" w:lineRule="exact"/>
        <w:rPr>
          <w:rFonts w:ascii="Times New Roman" w:hAnsi="Times New Roman"/>
          <w:color w:val="auto"/>
          <w:sz w:val="24"/>
          <w:szCs w:val="28"/>
        </w:rPr>
        <w:sectPr>
          <w:pgSz w:w="11906" w:h="16838"/>
          <w:pgMar w:top="1440" w:right="1800" w:bottom="1440" w:left="1800" w:header="851" w:footer="992" w:gutter="0"/>
          <w:cols w:space="720" w:num="1"/>
          <w:docGrid w:type="lines" w:linePitch="312" w:charSpace="0"/>
        </w:sectPr>
      </w:pPr>
    </w:p>
    <w:p w14:paraId="265299DD">
      <w:pPr>
        <w:pStyle w:val="7"/>
        <w:rPr>
          <w:rFonts w:ascii="Times New Roman" w:hAnsi="Times New Roman"/>
          <w:color w:val="auto"/>
        </w:rPr>
      </w:pPr>
    </w:p>
    <w:p w14:paraId="49E56B7B">
      <w:pPr>
        <w:pStyle w:val="3"/>
        <w:numPr>
          <w:ilvl w:val="0"/>
          <w:numId w:val="0"/>
        </w:numPr>
        <w:spacing w:beforeLines="0" w:afterLines="0" w:line="500" w:lineRule="atLeast"/>
        <w:ind w:left="402"/>
        <w:rPr>
          <w:rFonts w:ascii="Times New Roman" w:hAnsi="Times New Roman" w:eastAsia="方正小标宋_GBK"/>
          <w:b w:val="0"/>
          <w:bCs w:val="0"/>
          <w:color w:val="auto"/>
          <w:sz w:val="44"/>
        </w:rPr>
      </w:pPr>
      <w:bookmarkStart w:id="1" w:name="_Toc22139"/>
      <w:bookmarkStart w:id="2" w:name="_Toc13148_WPSOffice_Level1"/>
      <w:r>
        <w:rPr>
          <w:rFonts w:ascii="Times New Roman" w:hAnsi="Times New Roman" w:eastAsia="方正小标宋_GBK"/>
          <w:b w:val="0"/>
          <w:bCs w:val="0"/>
          <w:color w:val="auto"/>
          <w:sz w:val="44"/>
        </w:rPr>
        <w:t>第一章  采购</w:t>
      </w:r>
      <w:bookmarkEnd w:id="1"/>
      <w:bookmarkEnd w:id="2"/>
      <w:r>
        <w:rPr>
          <w:rFonts w:ascii="Times New Roman" w:hAnsi="Times New Roman" w:eastAsia="方正小标宋_GBK"/>
          <w:b w:val="0"/>
          <w:bCs w:val="0"/>
          <w:color w:val="auto"/>
          <w:sz w:val="44"/>
        </w:rPr>
        <w:t>公告</w:t>
      </w:r>
    </w:p>
    <w:p w14:paraId="0159305E">
      <w:pPr>
        <w:keepNext/>
        <w:keepLines/>
        <w:numPr>
          <w:ilvl w:val="0"/>
          <w:numId w:val="3"/>
        </w:numPr>
        <w:snapToGrid w:val="0"/>
        <w:spacing w:line="600" w:lineRule="exact"/>
        <w:ind w:left="403"/>
        <w:outlineLvl w:val="1"/>
        <w:rPr>
          <w:rFonts w:ascii="Times New Roman" w:hAnsi="Times New Roman" w:eastAsia="黑体"/>
          <w:bCs/>
          <w:color w:val="auto"/>
          <w:sz w:val="32"/>
          <w:szCs w:val="32"/>
        </w:rPr>
      </w:pPr>
      <w:r>
        <w:rPr>
          <w:rFonts w:ascii="Times New Roman" w:hAnsi="Times New Roman" w:eastAsia="黑体"/>
          <w:bCs/>
          <w:color w:val="auto"/>
          <w:sz w:val="32"/>
          <w:szCs w:val="32"/>
        </w:rPr>
        <w:t>项目简介</w:t>
      </w:r>
    </w:p>
    <w:p w14:paraId="55A14217">
      <w:pPr>
        <w:numPr>
          <w:ilvl w:val="1"/>
          <w:numId w:val="4"/>
        </w:numPr>
        <w:snapToGrid w:val="0"/>
        <w:spacing w:line="600" w:lineRule="exact"/>
        <w:ind w:firstLine="640" w:firstLineChars="200"/>
        <w:rPr>
          <w:rFonts w:ascii="Times New Roman" w:hAnsi="Times New Roman" w:eastAsia="仿宋_GB2312"/>
          <w:color w:val="auto"/>
          <w:sz w:val="32"/>
          <w:szCs w:val="32"/>
          <w:u w:val="single"/>
        </w:rPr>
      </w:pPr>
      <w:r>
        <w:rPr>
          <w:rFonts w:ascii="Times New Roman" w:hAnsi="Times New Roman" w:eastAsia="仿宋_GB2312"/>
          <w:color w:val="auto"/>
          <w:sz w:val="32"/>
          <w:szCs w:val="32"/>
        </w:rPr>
        <w:t>项目名称：</w:t>
      </w:r>
      <w:r>
        <w:rPr>
          <w:rFonts w:hint="eastAsia" w:ascii="Times New Roman" w:hAnsi="Times New Roman" w:eastAsia="仿宋_GB2312"/>
          <w:color w:val="auto"/>
          <w:sz w:val="32"/>
          <w:szCs w:val="32"/>
          <w:u w:val="single"/>
        </w:rPr>
        <w:t>深圳安联尚璟府项目阶段性软装家装类框架采购（2025年度）</w:t>
      </w:r>
    </w:p>
    <w:p w14:paraId="26715230">
      <w:pPr>
        <w:snapToGrid w:val="0"/>
        <w:spacing w:line="600" w:lineRule="exact"/>
        <w:ind w:left="420" w:leftChars="200" w:firstLine="217" w:firstLineChars="68"/>
        <w:rPr>
          <w:rFonts w:ascii="Times New Roman" w:hAnsi="Times New Roman" w:eastAsia="仿宋_GB2312"/>
          <w:color w:val="auto"/>
          <w:sz w:val="32"/>
          <w:szCs w:val="32"/>
        </w:rPr>
      </w:pPr>
      <w:r>
        <w:rPr>
          <w:rFonts w:ascii="Times New Roman" w:hAnsi="Times New Roman" w:eastAsia="仿宋_GB2312"/>
          <w:color w:val="auto"/>
          <w:sz w:val="32"/>
          <w:szCs w:val="32"/>
        </w:rPr>
        <w:t>1.2 采 购 人：</w:t>
      </w:r>
      <w:r>
        <w:rPr>
          <w:rFonts w:hint="eastAsia" w:ascii="Times New Roman" w:hAnsi="Times New Roman" w:eastAsia="仿宋_GB2312"/>
          <w:color w:val="auto"/>
          <w:sz w:val="32"/>
          <w:szCs w:val="32"/>
          <w:u w:val="single"/>
        </w:rPr>
        <w:t>深圳市安之联置业有限公司</w:t>
      </w:r>
      <w:r>
        <w:rPr>
          <w:rFonts w:ascii="Times New Roman" w:hAnsi="Times New Roman" w:eastAsia="仿宋_GB2312"/>
          <w:color w:val="auto"/>
          <w:sz w:val="32"/>
          <w:szCs w:val="32"/>
          <w:u w:val="single"/>
        </w:rPr>
        <w:t xml:space="preserve"> </w:t>
      </w:r>
    </w:p>
    <w:p w14:paraId="646AB49B">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1.3 项目概况：</w:t>
      </w:r>
      <w:r>
        <w:rPr>
          <w:rFonts w:ascii="Times New Roman" w:hAnsi="Times New Roman" w:eastAsia="仿宋_GB2312"/>
          <w:color w:val="auto"/>
          <w:sz w:val="32"/>
          <w:szCs w:val="32"/>
          <w:u w:val="single"/>
        </w:rPr>
        <w:t>目前，深圳安联尚璟府项目已进入现房销售阶段。为配合销售节点，进一步增强项目吸引力和客户满意度，从而推动销售目标的实现，现拟以公告邀请询价采购的方式，对深圳安联尚璟府项目阶段性软装家装类框架进行采购，本次采购的服务内容详见</w:t>
      </w:r>
      <w:r>
        <w:rPr>
          <w:rFonts w:hint="eastAsia" w:ascii="Times New Roman" w:hAnsi="Times New Roman" w:eastAsia="仿宋_GB2312"/>
          <w:color w:val="auto"/>
          <w:sz w:val="32"/>
          <w:szCs w:val="32"/>
          <w:u w:val="single"/>
        </w:rPr>
        <w:t>合同内容</w:t>
      </w:r>
      <w:r>
        <w:rPr>
          <w:rFonts w:ascii="Times New Roman" w:hAnsi="Times New Roman" w:eastAsia="仿宋_GB2312"/>
          <w:color w:val="auto"/>
          <w:sz w:val="32"/>
          <w:szCs w:val="32"/>
          <w:u w:val="single"/>
        </w:rPr>
        <w:t>附件。</w:t>
      </w:r>
    </w:p>
    <w:p w14:paraId="6C9F8ED9">
      <w:pPr>
        <w:keepNext/>
        <w:keepLines/>
        <w:snapToGrid w:val="0"/>
        <w:spacing w:line="600" w:lineRule="exact"/>
        <w:ind w:left="420"/>
        <w:outlineLvl w:val="1"/>
        <w:rPr>
          <w:rFonts w:ascii="Times New Roman" w:hAnsi="Times New Roman" w:eastAsia="黑体"/>
          <w:bCs/>
          <w:color w:val="auto"/>
          <w:sz w:val="32"/>
          <w:szCs w:val="32"/>
        </w:rPr>
      </w:pPr>
      <w:r>
        <w:rPr>
          <w:rFonts w:ascii="Times New Roman" w:hAnsi="Times New Roman" w:eastAsia="黑体"/>
          <w:bCs/>
          <w:color w:val="auto"/>
          <w:sz w:val="32"/>
          <w:szCs w:val="32"/>
        </w:rPr>
        <w:t>2. 采购说明</w:t>
      </w:r>
    </w:p>
    <w:p w14:paraId="4038144B">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2.1 采购方式：</w:t>
      </w:r>
      <w:r>
        <w:rPr>
          <w:rFonts w:ascii="Times New Roman" w:hAnsi="Times New Roman" w:eastAsia="仿宋_GB2312"/>
          <w:color w:val="auto"/>
          <w:sz w:val="32"/>
          <w:szCs w:val="32"/>
          <w:u w:val="single"/>
        </w:rPr>
        <w:t>公开询比采购</w:t>
      </w:r>
    </w:p>
    <w:p w14:paraId="426F45A8">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2.2 资金来源及比例：</w:t>
      </w:r>
      <w:r>
        <w:rPr>
          <w:rFonts w:ascii="Times New Roman" w:hAnsi="Times New Roman" w:eastAsia="仿宋_GB2312"/>
          <w:color w:val="auto"/>
          <w:sz w:val="32"/>
          <w:szCs w:val="32"/>
          <w:u w:val="single"/>
        </w:rPr>
        <w:t>100%企业自筹</w:t>
      </w:r>
    </w:p>
    <w:p w14:paraId="41D011A7">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2.3 采购范围：</w:t>
      </w:r>
      <w:r>
        <w:rPr>
          <w:rFonts w:hint="eastAsia" w:ascii="Times New Roman" w:hAnsi="Times New Roman" w:eastAsia="仿宋_GB2312"/>
          <w:color w:val="auto"/>
          <w:sz w:val="32"/>
          <w:szCs w:val="32"/>
          <w:u w:val="single"/>
        </w:rPr>
        <w:t>2025年度深圳安联尚璟府项目阶段性软装家装类框架采购</w:t>
      </w:r>
      <w:r>
        <w:rPr>
          <w:rFonts w:ascii="Times New Roman" w:hAnsi="Times New Roman" w:eastAsia="仿宋_GB2312"/>
          <w:color w:val="auto"/>
          <w:sz w:val="32"/>
          <w:szCs w:val="32"/>
        </w:rPr>
        <w:t xml:space="preserve">                           </w:t>
      </w:r>
    </w:p>
    <w:p w14:paraId="6642026A">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2.4 合同包划分：</w:t>
      </w:r>
      <w:r>
        <w:rPr>
          <w:rFonts w:ascii="Times New Roman" w:hAnsi="Times New Roman" w:eastAsia="仿宋_GB2312"/>
          <w:color w:val="auto"/>
          <w:sz w:val="32"/>
          <w:szCs w:val="32"/>
          <w:u w:val="single"/>
        </w:rPr>
        <w:t xml:space="preserve"> / </w:t>
      </w:r>
      <w:r>
        <w:rPr>
          <w:rFonts w:ascii="Times New Roman" w:hAnsi="Times New Roman" w:eastAsia="仿宋_GB2312"/>
          <w:color w:val="auto"/>
          <w:sz w:val="32"/>
          <w:szCs w:val="32"/>
        </w:rPr>
        <w:t xml:space="preserve"> </w:t>
      </w:r>
    </w:p>
    <w:p w14:paraId="0D63990B">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2.5最高限价（含税）：</w:t>
      </w:r>
      <w:r>
        <w:rPr>
          <w:rFonts w:ascii="Times New Roman" w:hAnsi="Times New Roman" w:eastAsia="仿宋_GB2312"/>
          <w:color w:val="auto"/>
          <w:sz w:val="32"/>
          <w:szCs w:val="32"/>
          <w:u w:val="single"/>
        </w:rPr>
        <w:t>680000.00元</w:t>
      </w:r>
      <w:r>
        <w:rPr>
          <w:rFonts w:ascii="Times New Roman" w:hAnsi="Times New Roman" w:eastAsia="仿宋_GB2312"/>
          <w:color w:val="auto"/>
          <w:sz w:val="32"/>
          <w:szCs w:val="32"/>
        </w:rPr>
        <w:t xml:space="preserve">                     </w:t>
      </w:r>
    </w:p>
    <w:p w14:paraId="40F2EA20">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2.6 计划交货期：</w:t>
      </w:r>
      <w:r>
        <w:rPr>
          <w:rFonts w:ascii="Times New Roman" w:hAnsi="Times New Roman" w:eastAsia="仿宋_GB2312"/>
          <w:color w:val="auto"/>
          <w:sz w:val="32"/>
          <w:szCs w:val="32"/>
          <w:u w:val="single"/>
        </w:rPr>
        <w:t>供货期限</w:t>
      </w:r>
      <w:r>
        <w:rPr>
          <w:rFonts w:hint="eastAsia" w:ascii="Times New Roman" w:hAnsi="Times New Roman" w:eastAsia="仿宋_GB2312"/>
          <w:color w:val="auto"/>
          <w:sz w:val="32"/>
          <w:szCs w:val="32"/>
          <w:u w:val="single"/>
        </w:rPr>
        <w:t>自合同签订生效之日起至2025年12月31日</w:t>
      </w:r>
      <w:r>
        <w:rPr>
          <w:rFonts w:ascii="Times New Roman" w:hAnsi="Times New Roman" w:eastAsia="仿宋_GB2312"/>
          <w:color w:val="auto"/>
          <w:sz w:val="32"/>
          <w:szCs w:val="32"/>
          <w:u w:val="single"/>
        </w:rPr>
        <w:t>，具体各批次</w:t>
      </w:r>
      <w:r>
        <w:rPr>
          <w:rFonts w:hint="eastAsia" w:ascii="Times New Roman" w:hAnsi="Times New Roman" w:eastAsia="仿宋_GB2312"/>
          <w:color w:val="auto"/>
          <w:sz w:val="32"/>
          <w:szCs w:val="32"/>
          <w:u w:val="single"/>
        </w:rPr>
        <w:t>家私套装</w:t>
      </w:r>
      <w:r>
        <w:rPr>
          <w:rFonts w:ascii="Times New Roman" w:hAnsi="Times New Roman" w:eastAsia="仿宋_GB2312"/>
          <w:color w:val="auto"/>
          <w:sz w:val="32"/>
          <w:szCs w:val="32"/>
          <w:u w:val="single"/>
        </w:rPr>
        <w:t>交货期以甲方后续实际通知为准。</w:t>
      </w:r>
    </w:p>
    <w:p w14:paraId="420CB121">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2.7 每个供应商最多可同时对</w:t>
      </w:r>
      <w:r>
        <w:rPr>
          <w:rFonts w:ascii="Times New Roman" w:hAnsi="Times New Roman" w:eastAsia="仿宋_GB2312"/>
          <w:color w:val="auto"/>
          <w:sz w:val="32"/>
          <w:szCs w:val="32"/>
          <w:u w:val="single"/>
        </w:rPr>
        <w:t xml:space="preserve"> 1 </w:t>
      </w:r>
      <w:r>
        <w:rPr>
          <w:rFonts w:ascii="Times New Roman" w:hAnsi="Times New Roman" w:eastAsia="仿宋_GB2312"/>
          <w:color w:val="auto"/>
          <w:sz w:val="32"/>
          <w:szCs w:val="32"/>
        </w:rPr>
        <w:t>合同包进行报价，并允许最多成交</w:t>
      </w:r>
      <w:r>
        <w:rPr>
          <w:rFonts w:ascii="Times New Roman" w:hAnsi="Times New Roman" w:eastAsia="仿宋_GB2312"/>
          <w:color w:val="auto"/>
          <w:sz w:val="32"/>
          <w:szCs w:val="32"/>
          <w:u w:val="single"/>
        </w:rPr>
        <w:t>1</w:t>
      </w:r>
      <w:r>
        <w:rPr>
          <w:rFonts w:ascii="Times New Roman" w:hAnsi="Times New Roman" w:eastAsia="仿宋_GB2312"/>
          <w:color w:val="auto"/>
          <w:sz w:val="32"/>
          <w:szCs w:val="32"/>
        </w:rPr>
        <w:t>个合同包；多合同包的成交原则：</w:t>
      </w:r>
      <w:r>
        <w:rPr>
          <w:rFonts w:ascii="Times New Roman" w:hAnsi="Times New Roman" w:eastAsia="仿宋_GB2312"/>
          <w:color w:val="auto"/>
          <w:sz w:val="32"/>
          <w:szCs w:val="32"/>
          <w:u w:val="single"/>
        </w:rPr>
        <w:t xml:space="preserve"> / </w:t>
      </w:r>
      <w:r>
        <w:rPr>
          <w:rFonts w:ascii="Times New Roman" w:hAnsi="Times New Roman" w:eastAsia="仿宋_GB2312"/>
          <w:color w:val="auto"/>
          <w:sz w:val="32"/>
          <w:szCs w:val="32"/>
        </w:rPr>
        <w:t>。</w:t>
      </w:r>
    </w:p>
    <w:p w14:paraId="7BF42137">
      <w:pPr>
        <w:keepNext/>
        <w:keepLines/>
        <w:snapToGrid w:val="0"/>
        <w:spacing w:line="600" w:lineRule="exact"/>
        <w:ind w:left="420"/>
        <w:outlineLvl w:val="1"/>
        <w:rPr>
          <w:rFonts w:ascii="Times New Roman" w:hAnsi="Times New Roman" w:eastAsia="黑体"/>
          <w:bCs/>
          <w:color w:val="auto"/>
          <w:sz w:val="32"/>
          <w:szCs w:val="32"/>
        </w:rPr>
      </w:pPr>
      <w:r>
        <w:rPr>
          <w:rFonts w:ascii="Times New Roman" w:hAnsi="Times New Roman" w:eastAsia="黑体"/>
          <w:bCs/>
          <w:color w:val="auto"/>
          <w:sz w:val="32"/>
          <w:szCs w:val="32"/>
        </w:rPr>
        <w:t>3. 供应商资格条件</w:t>
      </w:r>
    </w:p>
    <w:p w14:paraId="5FAB4034">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3.1 本次采购要求供应商须同时具备：</w:t>
      </w:r>
    </w:p>
    <w:p w14:paraId="47CAE33B">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（1）资质最低要求：</w:t>
      </w:r>
    </w:p>
    <w:p w14:paraId="4D7C2E31">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具备独立法人资格，持有有效的营业执照。且经营范围包括：</w:t>
      </w:r>
      <w:r>
        <w:rPr>
          <w:rFonts w:ascii="Times New Roman" w:hAnsi="Times New Roman" w:eastAsia="仿宋_GB2312"/>
          <w:color w:val="auto"/>
          <w:sz w:val="32"/>
          <w:szCs w:val="32"/>
          <w:u w:val="single"/>
        </w:rPr>
        <w:t>家具销售/家具安装和维修服务/家居用品销售</w:t>
      </w:r>
      <w:r>
        <w:rPr>
          <w:rFonts w:ascii="Times New Roman" w:hAnsi="Times New Roman" w:eastAsia="仿宋_GB2312"/>
          <w:color w:val="auto"/>
          <w:sz w:val="32"/>
          <w:szCs w:val="32"/>
        </w:rPr>
        <w:t>。</w:t>
      </w:r>
    </w:p>
    <w:p w14:paraId="3004ECE3">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w:t>
      </w:r>
    </w:p>
    <w:p w14:paraId="48008732">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信誉要求最低要求：</w:t>
      </w:r>
    </w:p>
    <w:p w14:paraId="574F74FC">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①未被责令停业，暂扣或吊销执照，或吊销资质证书；</w:t>
      </w:r>
    </w:p>
    <w:p w14:paraId="1E47D000">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②未进入清算程序，或被宣告破产，或其他丧失履约能力的情形；</w:t>
      </w:r>
    </w:p>
    <w:p w14:paraId="44034B6B">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③在国家企业信用信息公示系统（http://www.gsxt.gov.cn）中未被列入严重违法失信企业名单；</w:t>
      </w:r>
    </w:p>
    <w:p w14:paraId="4D712348">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④在中国执行信息公开网（http://zxgk.court.gov.cn/index.jsp）中未被列入失信被执行人名单；</w:t>
      </w:r>
    </w:p>
    <w:p w14:paraId="08637214">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⑤在近三年内（自响应文件递交截止之日向前追溯3年）供应商或其法定代表人未有行贿犯罪行为。</w:t>
      </w:r>
    </w:p>
    <w:p w14:paraId="6A1C1279">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⑥其他要求：</w:t>
      </w:r>
      <w:r>
        <w:rPr>
          <w:rFonts w:ascii="Times New Roman" w:hAnsi="Times New Roman" w:eastAsia="仿宋_GB2312"/>
          <w:color w:val="auto"/>
          <w:sz w:val="32"/>
          <w:szCs w:val="32"/>
          <w:u w:val="single"/>
        </w:rPr>
        <w:t xml:space="preserve"> / </w:t>
      </w:r>
      <w:r>
        <w:rPr>
          <w:rFonts w:ascii="Times New Roman" w:hAnsi="Times New Roman" w:eastAsia="仿宋_GB2312"/>
          <w:color w:val="auto"/>
          <w:sz w:val="32"/>
          <w:szCs w:val="32"/>
        </w:rPr>
        <w:t>。</w:t>
      </w:r>
    </w:p>
    <w:p w14:paraId="51FDA86A">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 联合体：本次采购不接受联合体报价。</w:t>
      </w:r>
    </w:p>
    <w:p w14:paraId="0B32B909">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3.3 单位负责人为同一人或者存在关联关系的不同单位，不得同时参加项目报价，违反规定的，相关响应文件均无效，以国家企业信息公示系统http://www.gsxt.gov.cn/index.html查询为准。</w:t>
      </w:r>
    </w:p>
    <w:p w14:paraId="33F14F88">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关联关系定义：是指公司控股股东、实际控制人、董事、监事、高级管理人员与其直接或者间接控制的企业之间的关系，以及可能导致公司利益转移的其他关系。</w:t>
      </w:r>
    </w:p>
    <w:p w14:paraId="4B84F643">
      <w:pPr>
        <w:pStyle w:val="4"/>
        <w:keepNext w:val="0"/>
        <w:keepLines w:val="0"/>
        <w:numPr>
          <w:ilvl w:val="0"/>
          <w:numId w:val="5"/>
        </w:numPr>
        <w:autoSpaceDE w:val="0"/>
        <w:snapToGrid w:val="0"/>
        <w:spacing w:line="560" w:lineRule="exact"/>
        <w:rPr>
          <w:rFonts w:ascii="Times New Roman" w:hAnsi="Times New Roman" w:eastAsia="黑体"/>
          <w:b w:val="0"/>
          <w:color w:val="auto"/>
          <w:sz w:val="32"/>
        </w:rPr>
      </w:pPr>
      <w:r>
        <w:rPr>
          <w:rFonts w:ascii="Times New Roman" w:hAnsi="Times New Roman" w:eastAsia="黑体"/>
          <w:b w:val="0"/>
          <w:color w:val="auto"/>
          <w:sz w:val="32"/>
        </w:rPr>
        <w:t>询比文件的获取</w:t>
      </w:r>
    </w:p>
    <w:p w14:paraId="46E84AB8">
      <w:pPr>
        <w:wordWrap w:val="0"/>
        <w:autoSpaceDE w:val="0"/>
        <w:snapToGrid w:val="0"/>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lang w:bidi="ar"/>
        </w:rPr>
        <w:t>供应商应在递交响应文件的截止时间前登录安徽安联高速公路有限公司官方网站（http://www.ahanlian.com/），选择所参加的项目，自行下载询比文件及相关资料。</w:t>
      </w:r>
    </w:p>
    <w:p w14:paraId="588761A3">
      <w:pPr>
        <w:widowControl/>
        <w:snapToGrid w:val="0"/>
        <w:spacing w:line="600" w:lineRule="exact"/>
        <w:ind w:firstLine="419" w:firstLineChars="131"/>
        <w:rPr>
          <w:rFonts w:ascii="Times New Roman" w:hAnsi="Times New Roman" w:eastAsia="黑体"/>
          <w:bCs/>
          <w:color w:val="auto"/>
          <w:sz w:val="32"/>
          <w:szCs w:val="32"/>
        </w:rPr>
      </w:pPr>
      <w:bookmarkStart w:id="3" w:name="_Toc27599_WPSOffice_Level2"/>
      <w:r>
        <w:rPr>
          <w:rFonts w:ascii="Times New Roman" w:hAnsi="Times New Roman" w:eastAsia="黑体"/>
          <w:bCs/>
          <w:color w:val="auto"/>
          <w:sz w:val="32"/>
          <w:szCs w:val="32"/>
        </w:rPr>
        <w:t xml:space="preserve">5. </w:t>
      </w:r>
      <w:bookmarkEnd w:id="3"/>
      <w:bookmarkStart w:id="4" w:name="_Toc20535_WPSOffice_Level2"/>
      <w:r>
        <w:rPr>
          <w:rFonts w:ascii="Times New Roman" w:hAnsi="Times New Roman" w:eastAsia="黑体"/>
          <w:bCs/>
          <w:color w:val="auto"/>
          <w:sz w:val="32"/>
          <w:szCs w:val="32"/>
        </w:rPr>
        <w:t>响应文件的递交</w:t>
      </w:r>
      <w:bookmarkEnd w:id="4"/>
    </w:p>
    <w:p w14:paraId="5CB9A086">
      <w:pPr>
        <w:snapToGrid w:val="0"/>
        <w:spacing w:line="600" w:lineRule="exact"/>
        <w:ind w:firstLine="640" w:firstLineChars="200"/>
        <w:outlineLvl w:val="1"/>
        <w:rPr>
          <w:rFonts w:ascii="Times New Roman" w:hAnsi="Times New Roman" w:eastAsia="仿宋_GB2312"/>
          <w:b/>
          <w:color w:val="auto"/>
          <w:sz w:val="32"/>
          <w:szCs w:val="32"/>
        </w:rPr>
      </w:pPr>
      <w:r>
        <w:rPr>
          <w:rFonts w:ascii="Times New Roman" w:hAnsi="Times New Roman" w:eastAsia="仿宋_GB2312"/>
          <w:color w:val="auto"/>
          <w:sz w:val="32"/>
          <w:szCs w:val="32"/>
        </w:rPr>
        <w:t>响应文件递交的截止时间为</w:t>
      </w:r>
      <w:r>
        <w:rPr>
          <w:rFonts w:ascii="Times New Roman" w:hAnsi="Times New Roman" w:eastAsia="仿宋_GB2312"/>
          <w:color w:val="auto"/>
          <w:sz w:val="32"/>
          <w:szCs w:val="32"/>
          <w:u w:val="single"/>
        </w:rPr>
        <w:t>202</w:t>
      </w:r>
      <w:r>
        <w:rPr>
          <w:rFonts w:hint="eastAsia" w:ascii="Times New Roman" w:hAnsi="Times New Roman" w:eastAsia="仿宋_GB2312"/>
          <w:color w:val="auto"/>
          <w:sz w:val="32"/>
          <w:szCs w:val="32"/>
          <w:u w:val="single"/>
        </w:rPr>
        <w:t>5</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u w:val="single"/>
        </w:rPr>
        <w:t>3</w:t>
      </w:r>
      <w:r>
        <w:rPr>
          <w:rFonts w:ascii="Times New Roman" w:hAnsi="Times New Roman" w:eastAsia="仿宋_GB2312"/>
          <w:color w:val="auto"/>
          <w:sz w:val="32"/>
          <w:szCs w:val="32"/>
        </w:rPr>
        <w:t>月</w:t>
      </w:r>
      <w:r>
        <w:rPr>
          <w:rFonts w:hint="eastAsia" w:ascii="Times New Roman" w:hAnsi="Times New Roman" w:eastAsia="仿宋_GB2312"/>
          <w:color w:val="auto"/>
          <w:sz w:val="32"/>
          <w:szCs w:val="32"/>
          <w:u w:val="single"/>
          <w:lang w:val="en-US" w:eastAsia="zh-CN"/>
        </w:rPr>
        <w:t>31</w:t>
      </w:r>
      <w:r>
        <w:rPr>
          <w:rFonts w:ascii="Times New Roman" w:hAnsi="Times New Roman" w:eastAsia="仿宋_GB2312"/>
          <w:color w:val="auto"/>
          <w:sz w:val="32"/>
          <w:szCs w:val="32"/>
        </w:rPr>
        <w:t>日</w:t>
      </w:r>
      <w:r>
        <w:rPr>
          <w:rFonts w:ascii="Times New Roman" w:hAnsi="Times New Roman" w:eastAsia="仿宋_GB2312"/>
          <w:color w:val="auto"/>
          <w:sz w:val="32"/>
          <w:szCs w:val="32"/>
          <w:u w:val="single"/>
        </w:rPr>
        <w:t>1</w:t>
      </w:r>
      <w:r>
        <w:rPr>
          <w:rFonts w:hint="eastAsia" w:ascii="Times New Roman" w:hAnsi="Times New Roman" w:eastAsia="仿宋_GB2312"/>
          <w:color w:val="auto"/>
          <w:sz w:val="32"/>
          <w:szCs w:val="32"/>
          <w:u w:val="single"/>
        </w:rPr>
        <w:t>7</w:t>
      </w:r>
      <w:r>
        <w:rPr>
          <w:rFonts w:ascii="Times New Roman" w:hAnsi="Times New Roman" w:eastAsia="仿宋_GB2312"/>
          <w:color w:val="auto"/>
          <w:sz w:val="32"/>
          <w:szCs w:val="32"/>
        </w:rPr>
        <w:t>时</w:t>
      </w:r>
      <w:r>
        <w:rPr>
          <w:rFonts w:ascii="Times New Roman" w:hAnsi="Times New Roman" w:eastAsia="仿宋_GB2312"/>
          <w:color w:val="auto"/>
          <w:sz w:val="32"/>
          <w:szCs w:val="32"/>
          <w:u w:val="single"/>
        </w:rPr>
        <w:t>00</w:t>
      </w:r>
      <w:r>
        <w:rPr>
          <w:rFonts w:ascii="Times New Roman" w:hAnsi="Times New Roman" w:eastAsia="仿宋_GB2312"/>
          <w:color w:val="auto"/>
          <w:sz w:val="32"/>
          <w:szCs w:val="32"/>
        </w:rPr>
        <w:t>分，供应商的法定代表人或其授权代理人应于</w:t>
      </w:r>
      <w:r>
        <w:rPr>
          <w:rFonts w:ascii="Times New Roman" w:hAnsi="Times New Roman" w:eastAsia="仿宋_GB2312"/>
          <w:color w:val="auto"/>
          <w:sz w:val="32"/>
          <w:szCs w:val="32"/>
          <w:u w:val="single"/>
        </w:rPr>
        <w:t>202</w:t>
      </w:r>
      <w:r>
        <w:rPr>
          <w:rFonts w:hint="eastAsia" w:ascii="Times New Roman" w:hAnsi="Times New Roman" w:eastAsia="仿宋_GB2312"/>
          <w:color w:val="auto"/>
          <w:sz w:val="32"/>
          <w:szCs w:val="32"/>
          <w:u w:val="single"/>
        </w:rPr>
        <w:t>5</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u w:val="single"/>
        </w:rPr>
        <w:t>3</w:t>
      </w:r>
      <w:r>
        <w:rPr>
          <w:rFonts w:ascii="Times New Roman" w:hAnsi="Times New Roman" w:eastAsia="仿宋_GB2312"/>
          <w:color w:val="auto"/>
          <w:sz w:val="32"/>
          <w:szCs w:val="32"/>
        </w:rPr>
        <w:t>月</w:t>
      </w:r>
      <w:r>
        <w:rPr>
          <w:rFonts w:ascii="Times New Roman" w:hAnsi="Times New Roman" w:eastAsia="仿宋_GB2312"/>
          <w:color w:val="auto"/>
          <w:sz w:val="32"/>
          <w:szCs w:val="32"/>
          <w:u w:val="single"/>
        </w:rPr>
        <w:t xml:space="preserve"> </w:t>
      </w:r>
      <w:r>
        <w:rPr>
          <w:rFonts w:hint="eastAsia" w:ascii="Times New Roman" w:hAnsi="Times New Roman" w:eastAsia="仿宋_GB2312"/>
          <w:color w:val="auto"/>
          <w:sz w:val="32"/>
          <w:szCs w:val="32"/>
          <w:u w:val="single"/>
          <w:lang w:val="en-US" w:eastAsia="zh-CN"/>
        </w:rPr>
        <w:t>31</w:t>
      </w:r>
      <w:r>
        <w:rPr>
          <w:rFonts w:ascii="Times New Roman" w:hAnsi="Times New Roman" w:eastAsia="仿宋_GB2312"/>
          <w:color w:val="auto"/>
          <w:sz w:val="32"/>
          <w:szCs w:val="32"/>
        </w:rPr>
        <w:t>日</w:t>
      </w:r>
      <w:r>
        <w:rPr>
          <w:rFonts w:hint="eastAsia" w:ascii="Times New Roman" w:hAnsi="Times New Roman" w:eastAsia="仿宋_GB2312"/>
          <w:color w:val="auto"/>
          <w:sz w:val="32"/>
          <w:szCs w:val="32"/>
          <w:u w:val="single"/>
        </w:rPr>
        <w:t>16</w:t>
      </w:r>
      <w:r>
        <w:rPr>
          <w:rFonts w:ascii="Times New Roman" w:hAnsi="Times New Roman" w:eastAsia="仿宋_GB2312"/>
          <w:color w:val="auto"/>
          <w:sz w:val="32"/>
          <w:szCs w:val="32"/>
        </w:rPr>
        <w:t>时</w:t>
      </w:r>
      <w:r>
        <w:rPr>
          <w:rFonts w:ascii="Times New Roman" w:hAnsi="Times New Roman" w:eastAsia="仿宋_GB2312"/>
          <w:color w:val="auto"/>
          <w:sz w:val="32"/>
          <w:szCs w:val="32"/>
          <w:u w:val="single"/>
        </w:rPr>
        <w:t>30</w:t>
      </w:r>
      <w:r>
        <w:rPr>
          <w:rFonts w:ascii="Times New Roman" w:hAnsi="Times New Roman" w:eastAsia="仿宋_GB2312"/>
          <w:color w:val="auto"/>
          <w:sz w:val="32"/>
          <w:szCs w:val="32"/>
        </w:rPr>
        <w:t>分至</w:t>
      </w:r>
      <w:r>
        <w:rPr>
          <w:rFonts w:ascii="Times New Roman" w:hAnsi="Times New Roman" w:eastAsia="仿宋_GB2312"/>
          <w:color w:val="auto"/>
          <w:sz w:val="32"/>
          <w:szCs w:val="32"/>
          <w:u w:val="single"/>
        </w:rPr>
        <w:t>202</w:t>
      </w:r>
      <w:r>
        <w:rPr>
          <w:rFonts w:hint="eastAsia" w:ascii="Times New Roman" w:hAnsi="Times New Roman" w:eastAsia="仿宋_GB2312"/>
          <w:color w:val="auto"/>
          <w:sz w:val="32"/>
          <w:szCs w:val="32"/>
          <w:u w:val="single"/>
        </w:rPr>
        <w:t>5</w:t>
      </w:r>
      <w:r>
        <w:rPr>
          <w:rFonts w:ascii="Times New Roman" w:hAnsi="Times New Roman" w:eastAsia="仿宋_GB2312"/>
          <w:color w:val="auto"/>
          <w:sz w:val="32"/>
          <w:szCs w:val="32"/>
        </w:rPr>
        <w:t>年</w:t>
      </w:r>
      <w:r>
        <w:rPr>
          <w:rFonts w:hint="eastAsia" w:ascii="Times New Roman" w:hAnsi="Times New Roman" w:eastAsia="仿宋_GB2312"/>
          <w:color w:val="auto"/>
          <w:sz w:val="32"/>
          <w:szCs w:val="32"/>
          <w:u w:val="single"/>
        </w:rPr>
        <w:t>3</w:t>
      </w:r>
      <w:r>
        <w:rPr>
          <w:rFonts w:ascii="Times New Roman" w:hAnsi="Times New Roman" w:eastAsia="仿宋_GB2312"/>
          <w:color w:val="auto"/>
          <w:sz w:val="32"/>
          <w:szCs w:val="32"/>
        </w:rPr>
        <w:t>月</w:t>
      </w:r>
      <w:r>
        <w:rPr>
          <w:rFonts w:hint="eastAsia" w:ascii="Times New Roman" w:hAnsi="Times New Roman" w:eastAsia="仿宋_GB2312"/>
          <w:color w:val="auto"/>
          <w:sz w:val="32"/>
          <w:szCs w:val="32"/>
          <w:u w:val="single"/>
          <w:lang w:val="en-US" w:eastAsia="zh-CN"/>
        </w:rPr>
        <w:t>31</w:t>
      </w:r>
      <w:r>
        <w:rPr>
          <w:rFonts w:ascii="Times New Roman" w:hAnsi="Times New Roman" w:eastAsia="仿宋_GB2312"/>
          <w:color w:val="auto"/>
          <w:sz w:val="32"/>
          <w:szCs w:val="32"/>
        </w:rPr>
        <w:t>日</w:t>
      </w:r>
      <w:r>
        <w:rPr>
          <w:rFonts w:ascii="Times New Roman" w:hAnsi="Times New Roman" w:eastAsia="仿宋_GB2312"/>
          <w:color w:val="auto"/>
          <w:sz w:val="32"/>
          <w:szCs w:val="32"/>
          <w:u w:val="single"/>
        </w:rPr>
        <w:t>1</w:t>
      </w:r>
      <w:r>
        <w:rPr>
          <w:rFonts w:hint="eastAsia" w:ascii="Times New Roman" w:hAnsi="Times New Roman" w:eastAsia="仿宋_GB2312"/>
          <w:color w:val="auto"/>
          <w:sz w:val="32"/>
          <w:szCs w:val="32"/>
          <w:u w:val="single"/>
        </w:rPr>
        <w:t>7</w:t>
      </w:r>
      <w:r>
        <w:rPr>
          <w:rFonts w:ascii="Times New Roman" w:hAnsi="Times New Roman" w:eastAsia="仿宋_GB2312"/>
          <w:color w:val="auto"/>
          <w:sz w:val="32"/>
          <w:szCs w:val="32"/>
        </w:rPr>
        <w:t>时</w:t>
      </w:r>
      <w:r>
        <w:rPr>
          <w:rFonts w:ascii="Times New Roman" w:hAnsi="Times New Roman" w:eastAsia="仿宋_GB2312"/>
          <w:color w:val="auto"/>
          <w:sz w:val="32"/>
          <w:szCs w:val="32"/>
          <w:u w:val="single"/>
        </w:rPr>
        <w:t>00</w:t>
      </w:r>
      <w:r>
        <w:rPr>
          <w:rFonts w:ascii="Times New Roman" w:hAnsi="Times New Roman" w:eastAsia="仿宋_GB2312"/>
          <w:color w:val="auto"/>
          <w:sz w:val="32"/>
          <w:szCs w:val="32"/>
        </w:rPr>
        <w:t>分（递交的截止时间）将响应文件递交至</w:t>
      </w:r>
      <w:r>
        <w:rPr>
          <w:rFonts w:hint="eastAsia" w:ascii="Times New Roman" w:hAnsi="Times New Roman" w:eastAsia="仿宋_GB2312"/>
          <w:bCs/>
          <w:color w:val="auto"/>
          <w:sz w:val="32"/>
          <w:szCs w:val="32"/>
          <w:u w:val="single"/>
        </w:rPr>
        <w:t>深圳市光明区邦凯科技园B座深圳市安之联置业有限公司</w:t>
      </w:r>
      <w:r>
        <w:rPr>
          <w:rFonts w:ascii="Times New Roman" w:hAnsi="Times New Roman" w:eastAsia="仿宋_GB2312"/>
          <w:b/>
          <w:color w:val="auto"/>
          <w:sz w:val="32"/>
          <w:szCs w:val="32"/>
        </w:rPr>
        <w:t>。</w:t>
      </w:r>
    </w:p>
    <w:p w14:paraId="58502D9D">
      <w:pPr>
        <w:snapToGrid w:val="0"/>
        <w:spacing w:line="600" w:lineRule="exact"/>
        <w:ind w:firstLine="640" w:firstLineChars="200"/>
        <w:outlineLvl w:val="1"/>
        <w:rPr>
          <w:rFonts w:ascii="Times New Roman" w:hAnsi="Times New Roman" w:eastAsia="黑体"/>
          <w:bCs/>
          <w:color w:val="auto"/>
          <w:sz w:val="32"/>
          <w:szCs w:val="32"/>
        </w:rPr>
      </w:pPr>
      <w:r>
        <w:rPr>
          <w:rFonts w:ascii="Times New Roman" w:hAnsi="Times New Roman" w:eastAsia="仿宋_GB2312"/>
          <w:bCs/>
          <w:color w:val="auto"/>
          <w:sz w:val="32"/>
          <w:szCs w:val="32"/>
        </w:rPr>
        <w:t xml:space="preserve">6. </w:t>
      </w:r>
      <w:r>
        <w:rPr>
          <w:rFonts w:ascii="Times New Roman" w:hAnsi="Times New Roman" w:eastAsia="黑体"/>
          <w:bCs/>
          <w:color w:val="auto"/>
          <w:sz w:val="32"/>
          <w:szCs w:val="32"/>
        </w:rPr>
        <w:t>响应文件启封</w:t>
      </w:r>
    </w:p>
    <w:p w14:paraId="16F2C052">
      <w:pPr>
        <w:autoSpaceDE w:val="0"/>
        <w:snapToGrid w:val="0"/>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lang w:bidi="ar"/>
        </w:rPr>
        <w:t>采购人将于响应文件的递交截止时间的同一时间，于</w:t>
      </w:r>
      <w:r>
        <w:rPr>
          <w:rFonts w:hint="eastAsia" w:ascii="Times New Roman" w:hAnsi="Times New Roman" w:eastAsia="仿宋_GB2312"/>
          <w:color w:val="auto"/>
          <w:sz w:val="32"/>
          <w:szCs w:val="32"/>
          <w:u w:val="single"/>
          <w:lang w:bidi="ar"/>
        </w:rPr>
        <w:t>深圳市光明区邦凯科技园B座深圳市安之联置业有限公司</w:t>
      </w:r>
      <w:r>
        <w:rPr>
          <w:rFonts w:ascii="Times New Roman" w:hAnsi="Times New Roman" w:eastAsia="仿宋_GB2312"/>
          <w:color w:val="auto"/>
          <w:sz w:val="32"/>
          <w:szCs w:val="32"/>
          <w:lang w:bidi="ar"/>
        </w:rPr>
        <w:t>组织进行响应文件的启封。供应商的法人或授权代理人应携带本人身份证、授权代理人应携带授权委托书准时参加启封会议。</w:t>
      </w:r>
      <w:r>
        <w:rPr>
          <w:rFonts w:ascii="Times New Roman" w:hAnsi="Times New Roman" w:eastAsia="仿宋_GB2312"/>
          <w:color w:val="auto"/>
          <w:sz w:val="32"/>
          <w:szCs w:val="32"/>
          <w:lang w:bidi="ar"/>
        </w:rPr>
        <w:tab/>
      </w:r>
    </w:p>
    <w:p w14:paraId="79C8CCEC">
      <w:pPr>
        <w:pStyle w:val="4"/>
        <w:keepNext w:val="0"/>
        <w:keepLines w:val="0"/>
        <w:numPr>
          <w:ilvl w:val="0"/>
          <w:numId w:val="6"/>
        </w:numPr>
        <w:autoSpaceDE w:val="0"/>
        <w:spacing w:line="560" w:lineRule="exact"/>
        <w:rPr>
          <w:rFonts w:ascii="Times New Roman" w:hAnsi="Times New Roman" w:eastAsia="黑体"/>
          <w:b w:val="0"/>
          <w:color w:val="auto"/>
          <w:sz w:val="32"/>
        </w:rPr>
      </w:pPr>
      <w:r>
        <w:rPr>
          <w:rFonts w:ascii="Times New Roman" w:hAnsi="Times New Roman" w:eastAsia="黑体"/>
          <w:b w:val="0"/>
          <w:color w:val="auto"/>
          <w:sz w:val="32"/>
        </w:rPr>
        <w:t>发布公告的媒介</w:t>
      </w:r>
    </w:p>
    <w:p w14:paraId="276A7059">
      <w:pPr>
        <w:pStyle w:val="4"/>
        <w:keepNext w:val="0"/>
        <w:keepLines w:val="0"/>
        <w:numPr>
          <w:ilvl w:val="0"/>
          <w:numId w:val="0"/>
        </w:numPr>
        <w:autoSpaceDE w:val="0"/>
        <w:spacing w:line="560" w:lineRule="exact"/>
        <w:ind w:firstLine="640" w:firstLineChars="200"/>
        <w:rPr>
          <w:rFonts w:ascii="Times New Roman" w:hAnsi="Times New Roman" w:eastAsia="黑体"/>
          <w:color w:val="auto"/>
          <w:sz w:val="32"/>
        </w:rPr>
      </w:pPr>
      <w:r>
        <w:rPr>
          <w:rFonts w:ascii="Times New Roman" w:hAnsi="Times New Roman" w:eastAsia="仿宋_GB2312"/>
          <w:b w:val="0"/>
          <w:bCs w:val="0"/>
          <w:color w:val="auto"/>
          <w:sz w:val="32"/>
        </w:rPr>
        <w:t>本次采购公告在安徽安联高速公路有限公司官方网站（http://www.ahanlian.com/）</w:t>
      </w:r>
      <w:r>
        <w:rPr>
          <w:rFonts w:ascii="Times New Roman" w:hAnsi="Times New Roman" w:eastAsia="仿宋_GB2312"/>
          <w:b w:val="0"/>
          <w:bCs w:val="0"/>
          <w:color w:val="auto"/>
          <w:szCs w:val="28"/>
        </w:rPr>
        <w:t>上发布。</w:t>
      </w:r>
    </w:p>
    <w:p w14:paraId="3964CE7D">
      <w:pPr>
        <w:keepNext/>
        <w:keepLines/>
        <w:snapToGrid w:val="0"/>
        <w:spacing w:line="600" w:lineRule="exact"/>
        <w:ind w:left="420"/>
        <w:outlineLvl w:val="1"/>
        <w:rPr>
          <w:rFonts w:ascii="Times New Roman" w:hAnsi="Times New Roman" w:eastAsia="黑体"/>
          <w:bCs/>
          <w:color w:val="auto"/>
          <w:sz w:val="32"/>
          <w:szCs w:val="32"/>
        </w:rPr>
      </w:pPr>
      <w:r>
        <w:rPr>
          <w:rFonts w:ascii="Times New Roman" w:hAnsi="Times New Roman" w:eastAsia="黑体"/>
          <w:bCs/>
          <w:color w:val="auto"/>
          <w:sz w:val="32"/>
          <w:szCs w:val="32"/>
        </w:rPr>
        <w:t>8. 采购人联系方式</w:t>
      </w:r>
    </w:p>
    <w:p w14:paraId="6B52682D">
      <w:pPr>
        <w:snapToGrid w:val="0"/>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采 购 人：</w:t>
      </w:r>
      <w:r>
        <w:rPr>
          <w:rFonts w:hint="eastAsia" w:ascii="Times New Roman" w:hAnsi="Times New Roman" w:eastAsia="仿宋_GB2312"/>
          <w:color w:val="auto"/>
          <w:sz w:val="32"/>
          <w:szCs w:val="32"/>
          <w:u w:val="single"/>
        </w:rPr>
        <w:t>深圳市安之联置业有限公司</w:t>
      </w:r>
      <w:r>
        <w:rPr>
          <w:rFonts w:ascii="Times New Roman" w:hAnsi="Times New Roman" w:eastAsia="仿宋_GB2312"/>
          <w:color w:val="auto"/>
          <w:sz w:val="32"/>
          <w:szCs w:val="32"/>
        </w:rPr>
        <w:t xml:space="preserve"> </w:t>
      </w:r>
    </w:p>
    <w:p w14:paraId="53736D39">
      <w:pPr>
        <w:snapToGrid w:val="0"/>
        <w:spacing w:line="600" w:lineRule="exact"/>
        <w:ind w:firstLine="640" w:firstLineChars="200"/>
        <w:rPr>
          <w:rFonts w:ascii="Times New Roman" w:hAnsi="Times New Roman" w:eastAsia="仿宋_GB2312"/>
          <w:color w:val="auto"/>
          <w:sz w:val="32"/>
          <w:szCs w:val="32"/>
          <w:u w:val="single"/>
        </w:rPr>
      </w:pPr>
      <w:r>
        <w:rPr>
          <w:rFonts w:ascii="Times New Roman" w:hAnsi="Times New Roman" w:eastAsia="仿宋_GB2312"/>
          <w:color w:val="auto"/>
          <w:sz w:val="32"/>
          <w:szCs w:val="32"/>
        </w:rPr>
        <w:t>地    址：</w:t>
      </w:r>
      <w:r>
        <w:rPr>
          <w:rFonts w:hint="eastAsia" w:ascii="Times New Roman" w:hAnsi="Times New Roman" w:eastAsia="仿宋_GB2312"/>
          <w:color w:val="auto"/>
          <w:sz w:val="32"/>
          <w:szCs w:val="32"/>
          <w:u w:val="single"/>
        </w:rPr>
        <w:t>深圳市光明区邦凯科技园B座深圳市安之联置业有限公司</w:t>
      </w:r>
    </w:p>
    <w:p w14:paraId="0E320CAF">
      <w:pPr>
        <w:snapToGrid w:val="0"/>
        <w:spacing w:line="600" w:lineRule="exact"/>
        <w:ind w:firstLine="640" w:firstLineChars="200"/>
        <w:rPr>
          <w:rFonts w:ascii="Times New Roman" w:hAnsi="Times New Roman" w:eastAsia="仿宋_GB2312"/>
          <w:color w:val="auto"/>
          <w:sz w:val="32"/>
          <w:szCs w:val="32"/>
        </w:rPr>
      </w:pPr>
      <w:bookmarkStart w:id="5" w:name="_Toc3807_WPSOffice_Level1"/>
      <w:r>
        <w:rPr>
          <w:rFonts w:hint="eastAsia" w:ascii="Times New Roman" w:hAnsi="Times New Roman" w:eastAsia="仿宋_GB2312"/>
          <w:color w:val="auto"/>
          <w:sz w:val="32"/>
          <w:szCs w:val="32"/>
        </w:rPr>
        <w:t>邮政编码：518001</w:t>
      </w:r>
    </w:p>
    <w:p w14:paraId="311D5B69">
      <w:pPr>
        <w:snapToGrid w:val="0"/>
        <w:spacing w:line="600" w:lineRule="exact"/>
        <w:ind w:firstLine="640" w:firstLineChars="200"/>
        <w:rPr>
          <w:rFonts w:ascii="Times New Roman" w:hAnsi="Times New Roman" w:eastAsia="仿宋_GB2312"/>
          <w:color w:val="auto"/>
          <w:sz w:val="32"/>
          <w:szCs w:val="32"/>
        </w:rPr>
      </w:pPr>
      <w:r>
        <w:rPr>
          <w:rFonts w:hint="eastAsia" w:ascii="Times New Roman" w:hAnsi="Times New Roman" w:eastAsia="仿宋_GB2312"/>
          <w:color w:val="auto"/>
          <w:sz w:val="32"/>
          <w:szCs w:val="32"/>
        </w:rPr>
        <w:t>联系人：</w:t>
      </w:r>
      <w:r>
        <w:rPr>
          <w:rFonts w:hint="eastAsia" w:ascii="Times New Roman" w:hAnsi="Times New Roman" w:eastAsia="仿宋_GB2312"/>
          <w:color w:val="auto"/>
          <w:sz w:val="32"/>
          <w:szCs w:val="32"/>
          <w:u w:val="single"/>
        </w:rPr>
        <w:t>池先生</w:t>
      </w:r>
    </w:p>
    <w:p w14:paraId="4E4889B6">
      <w:pPr>
        <w:snapToGrid w:val="0"/>
        <w:spacing w:line="600" w:lineRule="exact"/>
        <w:ind w:firstLine="640" w:firstLineChars="200"/>
        <w:rPr>
          <w:rFonts w:ascii="Times New Roman" w:hAnsi="Times New Roman" w:eastAsia="仿宋_GB2312"/>
          <w:color w:val="auto"/>
          <w:sz w:val="32"/>
          <w:szCs w:val="32"/>
        </w:rPr>
      </w:pPr>
      <w:r>
        <w:rPr>
          <w:rFonts w:hint="eastAsia" w:ascii="Times New Roman" w:hAnsi="Times New Roman" w:eastAsia="仿宋_GB2312"/>
          <w:color w:val="auto"/>
          <w:sz w:val="32"/>
          <w:szCs w:val="32"/>
        </w:rPr>
        <w:t>电话：</w:t>
      </w:r>
      <w:r>
        <w:rPr>
          <w:rFonts w:hint="eastAsia" w:ascii="Times New Roman" w:hAnsi="Times New Roman" w:eastAsia="仿宋_GB2312"/>
          <w:color w:val="auto"/>
          <w:sz w:val="32"/>
          <w:szCs w:val="32"/>
          <w:u w:val="single"/>
        </w:rPr>
        <w:t>13699827329</w:t>
      </w:r>
    </w:p>
    <w:p w14:paraId="4FD7D84B">
      <w:pPr>
        <w:snapToGrid w:val="0"/>
        <w:spacing w:line="600" w:lineRule="exact"/>
        <w:ind w:firstLine="640" w:firstLineChars="200"/>
        <w:rPr>
          <w:rFonts w:ascii="Times New Roman" w:hAnsi="Times New Roman" w:eastAsia="仿宋_GB2312"/>
          <w:color w:val="auto"/>
          <w:sz w:val="32"/>
          <w:szCs w:val="32"/>
          <w:u w:val="single"/>
        </w:rPr>
      </w:pPr>
      <w:r>
        <w:rPr>
          <w:rFonts w:hint="eastAsia" w:ascii="Times New Roman" w:hAnsi="Times New Roman" w:eastAsia="仿宋_GB2312"/>
          <w:color w:val="auto"/>
          <w:sz w:val="32"/>
          <w:szCs w:val="32"/>
        </w:rPr>
        <w:t>电子邮箱：</w:t>
      </w:r>
      <w:r>
        <w:rPr>
          <w:rFonts w:hint="eastAsia" w:ascii="Times New Roman" w:hAnsi="Times New Roman" w:eastAsia="仿宋_GB2312"/>
          <w:color w:val="auto"/>
          <w:sz w:val="32"/>
          <w:szCs w:val="32"/>
          <w:u w:val="single"/>
        </w:rPr>
        <w:t>363017374@qq.com</w:t>
      </w:r>
    </w:p>
    <w:p w14:paraId="26919289">
      <w:pPr>
        <w:snapToGrid w:val="0"/>
        <w:spacing w:line="600" w:lineRule="exact"/>
        <w:ind w:firstLine="640" w:firstLineChars="200"/>
        <w:rPr>
          <w:rFonts w:ascii="Times New Roman" w:hAnsi="Times New Roman" w:eastAsia="仿宋_GB2312"/>
          <w:color w:val="auto"/>
          <w:sz w:val="32"/>
          <w:szCs w:val="32"/>
        </w:rPr>
      </w:pPr>
    </w:p>
    <w:p w14:paraId="39AF4AB7">
      <w:pPr>
        <w:snapToGrid w:val="0"/>
        <w:spacing w:line="600" w:lineRule="exact"/>
        <w:ind w:firstLine="640" w:firstLineChars="200"/>
        <w:rPr>
          <w:rFonts w:ascii="Times New Roman" w:hAnsi="Times New Roman" w:eastAsia="仿宋_GB2312"/>
          <w:color w:val="auto"/>
          <w:sz w:val="32"/>
          <w:szCs w:val="32"/>
        </w:rPr>
      </w:pPr>
    </w:p>
    <w:p w14:paraId="14D22A1F">
      <w:pPr>
        <w:snapToGrid w:val="0"/>
        <w:spacing w:line="600" w:lineRule="exact"/>
        <w:ind w:firstLine="640" w:firstLineChars="200"/>
        <w:rPr>
          <w:rFonts w:ascii="Times New Roman" w:hAnsi="Times New Roman" w:eastAsia="仿宋_GB2312"/>
          <w:color w:val="auto"/>
          <w:sz w:val="32"/>
          <w:szCs w:val="32"/>
        </w:rPr>
      </w:pPr>
    </w:p>
    <w:p w14:paraId="5DA6A05B">
      <w:pPr>
        <w:snapToGrid w:val="0"/>
        <w:spacing w:line="600" w:lineRule="exact"/>
        <w:ind w:firstLine="640" w:firstLineChars="200"/>
        <w:jc w:val="right"/>
        <w:rPr>
          <w:rFonts w:ascii="Times New Roman" w:hAnsi="Times New Roman" w:eastAsia="仿宋_GB2312"/>
          <w:color w:val="auto"/>
          <w:sz w:val="32"/>
          <w:szCs w:val="32"/>
        </w:rPr>
      </w:pPr>
      <w:r>
        <w:rPr>
          <w:rFonts w:hint="eastAsia" w:ascii="Times New Roman" w:hAnsi="Times New Roman" w:eastAsia="仿宋_GB2312"/>
          <w:color w:val="auto"/>
          <w:sz w:val="32"/>
          <w:szCs w:val="32"/>
        </w:rPr>
        <w:t xml:space="preserve">  2025年3月2</w:t>
      </w:r>
      <w:r>
        <w:rPr>
          <w:rFonts w:hint="eastAsia" w:ascii="Times New Roman" w:hAnsi="Times New Roman" w:eastAsia="仿宋_GB2312"/>
          <w:color w:val="auto"/>
          <w:sz w:val="32"/>
          <w:szCs w:val="32"/>
          <w:lang w:val="en-US" w:eastAsia="zh-CN"/>
        </w:rPr>
        <w:t>5</w:t>
      </w:r>
      <w:r>
        <w:rPr>
          <w:rFonts w:hint="eastAsia" w:ascii="Times New Roman" w:hAnsi="Times New Roman" w:eastAsia="仿宋_GB2312"/>
          <w:color w:val="auto"/>
          <w:sz w:val="32"/>
          <w:szCs w:val="32"/>
        </w:rPr>
        <w:t>日</w:t>
      </w:r>
    </w:p>
    <w:p w14:paraId="5C62ACA2">
      <w:pPr>
        <w:snapToGrid w:val="0"/>
        <w:spacing w:line="600" w:lineRule="exact"/>
        <w:rPr>
          <w:rFonts w:ascii="Times New Roman" w:hAnsi="Times New Roman" w:eastAsia="仿宋_GB2312"/>
          <w:color w:val="auto"/>
          <w:sz w:val="32"/>
          <w:szCs w:val="32"/>
        </w:rPr>
      </w:pPr>
    </w:p>
    <w:p w14:paraId="50859A11">
      <w:pPr>
        <w:pStyle w:val="2"/>
        <w:rPr>
          <w:rFonts w:ascii="Times New Roman" w:hAnsi="Times New Roman" w:eastAsia="仿宋_GB2312"/>
          <w:color w:val="auto"/>
          <w:sz w:val="32"/>
          <w:szCs w:val="32"/>
        </w:rPr>
      </w:pPr>
    </w:p>
    <w:p w14:paraId="30746880">
      <w:pPr>
        <w:rPr>
          <w:rFonts w:ascii="Times New Roman" w:hAnsi="Times New Roman" w:eastAsia="仿宋_GB2312"/>
          <w:color w:val="auto"/>
          <w:sz w:val="32"/>
          <w:szCs w:val="32"/>
        </w:rPr>
      </w:pPr>
    </w:p>
    <w:p w14:paraId="7CD9C6AB">
      <w:pPr>
        <w:pStyle w:val="2"/>
        <w:rPr>
          <w:rFonts w:ascii="Times New Roman" w:hAnsi="Times New Roman" w:eastAsia="仿宋_GB2312"/>
          <w:color w:val="auto"/>
          <w:sz w:val="32"/>
          <w:szCs w:val="32"/>
        </w:rPr>
      </w:pPr>
    </w:p>
    <w:p w14:paraId="49A79BF6">
      <w:pPr>
        <w:rPr>
          <w:rFonts w:ascii="Times New Roman" w:hAnsi="Times New Roman" w:eastAsia="仿宋_GB2312"/>
          <w:color w:val="auto"/>
          <w:sz w:val="32"/>
          <w:szCs w:val="32"/>
        </w:rPr>
      </w:pPr>
    </w:p>
    <w:p w14:paraId="3E17005D">
      <w:pPr>
        <w:pStyle w:val="2"/>
        <w:rPr>
          <w:rFonts w:ascii="Times New Roman" w:hAnsi="Times New Roman" w:eastAsia="仿宋_GB2312"/>
          <w:color w:val="auto"/>
          <w:sz w:val="32"/>
          <w:szCs w:val="32"/>
        </w:rPr>
      </w:pPr>
    </w:p>
    <w:p w14:paraId="1375BB04">
      <w:pPr>
        <w:rPr>
          <w:rFonts w:ascii="Times New Roman" w:hAnsi="Times New Roman" w:eastAsia="仿宋_GB2312"/>
          <w:color w:val="auto"/>
          <w:sz w:val="32"/>
          <w:szCs w:val="32"/>
        </w:rPr>
      </w:pPr>
    </w:p>
    <w:p w14:paraId="26944A04">
      <w:pPr>
        <w:pStyle w:val="2"/>
        <w:rPr>
          <w:rFonts w:ascii="Times New Roman" w:hAnsi="Times New Roman" w:eastAsia="仿宋_GB2312"/>
          <w:color w:val="auto"/>
          <w:sz w:val="32"/>
          <w:szCs w:val="32"/>
        </w:rPr>
      </w:pPr>
    </w:p>
    <w:p w14:paraId="21E852D2">
      <w:pPr>
        <w:rPr>
          <w:rFonts w:ascii="Times New Roman" w:hAnsi="Times New Roman" w:eastAsia="仿宋_GB2312"/>
          <w:color w:val="auto"/>
          <w:sz w:val="32"/>
          <w:szCs w:val="32"/>
        </w:rPr>
      </w:pPr>
    </w:p>
    <w:p w14:paraId="68BE142F">
      <w:pPr>
        <w:pStyle w:val="2"/>
        <w:rPr>
          <w:rFonts w:ascii="Times New Roman" w:hAnsi="Times New Roman" w:eastAsia="仿宋_GB2312"/>
          <w:color w:val="auto"/>
          <w:sz w:val="32"/>
          <w:szCs w:val="32"/>
        </w:rPr>
      </w:pPr>
    </w:p>
    <w:p w14:paraId="5F193D5E">
      <w:pPr>
        <w:rPr>
          <w:rFonts w:ascii="Times New Roman" w:hAnsi="Times New Roman" w:eastAsia="仿宋_GB2312"/>
          <w:color w:val="auto"/>
          <w:sz w:val="32"/>
          <w:szCs w:val="32"/>
        </w:rPr>
      </w:pPr>
    </w:p>
    <w:p w14:paraId="6654275F">
      <w:pPr>
        <w:pStyle w:val="2"/>
        <w:rPr>
          <w:rFonts w:ascii="Times New Roman" w:hAnsi="Times New Roman" w:eastAsia="仿宋_GB2312"/>
          <w:color w:val="auto"/>
          <w:sz w:val="32"/>
          <w:szCs w:val="32"/>
        </w:rPr>
      </w:pPr>
    </w:p>
    <w:p w14:paraId="45775AC0">
      <w:pPr>
        <w:rPr>
          <w:color w:val="auto"/>
        </w:rPr>
      </w:pPr>
    </w:p>
    <w:p w14:paraId="0EE15F87">
      <w:pPr>
        <w:pStyle w:val="3"/>
        <w:numPr>
          <w:ilvl w:val="0"/>
          <w:numId w:val="0"/>
        </w:numPr>
        <w:spacing w:beforeLines="0" w:afterLines="0" w:line="500" w:lineRule="atLeast"/>
        <w:rPr>
          <w:rFonts w:ascii="Times New Roman" w:hAnsi="Times New Roman" w:eastAsia="方正小标宋简体"/>
          <w:b w:val="0"/>
          <w:bCs w:val="0"/>
          <w:color w:val="auto"/>
          <w:sz w:val="44"/>
        </w:rPr>
      </w:pPr>
      <w:r>
        <w:rPr>
          <w:rFonts w:ascii="Times New Roman" w:hAnsi="Times New Roman" w:eastAsia="方正小标宋简体"/>
          <w:b w:val="0"/>
          <w:bCs w:val="0"/>
          <w:color w:val="auto"/>
          <w:sz w:val="44"/>
        </w:rPr>
        <w:t>第二章  供应商须知</w:t>
      </w:r>
    </w:p>
    <w:p w14:paraId="771A8778">
      <w:pPr>
        <w:spacing w:line="440" w:lineRule="exact"/>
        <w:jc w:val="center"/>
        <w:outlineLvl w:val="1"/>
        <w:rPr>
          <w:rFonts w:ascii="Times New Roman" w:hAnsi="Times New Roman" w:eastAsia="黑体"/>
          <w:color w:val="auto"/>
          <w:sz w:val="28"/>
          <w:szCs w:val="28"/>
        </w:rPr>
      </w:pPr>
      <w:bookmarkStart w:id="6" w:name="_Toc19501"/>
      <w:bookmarkStart w:id="7" w:name="_Toc26656928"/>
      <w:bookmarkStart w:id="8" w:name="_Toc16069"/>
      <w:bookmarkStart w:id="9" w:name="_Toc29381_WPSOffice_Level2"/>
      <w:bookmarkStart w:id="10" w:name="_Toc55466811"/>
      <w:bookmarkStart w:id="11" w:name="_Toc26656938"/>
      <w:bookmarkStart w:id="12" w:name="_Toc9067720"/>
      <w:bookmarkStart w:id="13" w:name="_Toc14201207"/>
      <w:r>
        <w:rPr>
          <w:rFonts w:ascii="Times New Roman" w:hAnsi="Times New Roman" w:eastAsia="黑体"/>
          <w:color w:val="auto"/>
          <w:sz w:val="28"/>
          <w:szCs w:val="28"/>
        </w:rPr>
        <w:t>供应商须知前附表</w:t>
      </w:r>
      <w:bookmarkEnd w:id="6"/>
      <w:bookmarkEnd w:id="7"/>
      <w:bookmarkEnd w:id="8"/>
      <w:bookmarkEnd w:id="9"/>
      <w:bookmarkEnd w:id="10"/>
    </w:p>
    <w:tbl>
      <w:tblPr>
        <w:tblStyle w:val="20"/>
        <w:tblpPr w:leftFromText="180" w:rightFromText="180" w:vertAnchor="text" w:horzAnchor="page" w:tblpX="1811" w:tblpY="49"/>
        <w:tblOverlap w:val="never"/>
        <w:tblW w:w="8978" w:type="dxa"/>
        <w:tblInd w:w="0" w:type="dxa"/>
        <w:tblLayout w:type="fixed"/>
        <w:tblCellMar>
          <w:top w:w="0" w:type="dxa"/>
          <w:left w:w="108" w:type="dxa"/>
          <w:bottom w:w="0" w:type="dxa"/>
          <w:right w:w="108" w:type="dxa"/>
        </w:tblCellMar>
      </w:tblPr>
      <w:tblGrid>
        <w:gridCol w:w="1004"/>
        <w:gridCol w:w="2587"/>
        <w:gridCol w:w="5387"/>
      </w:tblGrid>
      <w:tr w14:paraId="70146849">
        <w:tblPrEx>
          <w:tblCellMar>
            <w:top w:w="0" w:type="dxa"/>
            <w:left w:w="108" w:type="dxa"/>
            <w:bottom w:w="0" w:type="dxa"/>
            <w:right w:w="108" w:type="dxa"/>
          </w:tblCellMar>
        </w:tblPrEx>
        <w:trPr>
          <w:trHeight w:val="90" w:hRule="atLeast"/>
        </w:trPr>
        <w:tc>
          <w:tcPr>
            <w:tcW w:w="1004" w:type="dxa"/>
            <w:tcBorders>
              <w:top w:val="single" w:color="auto" w:sz="4" w:space="0"/>
              <w:left w:val="single" w:color="auto" w:sz="4" w:space="0"/>
              <w:bottom w:val="single" w:color="auto" w:sz="4" w:space="0"/>
              <w:right w:val="single" w:color="auto" w:sz="4" w:space="0"/>
            </w:tcBorders>
            <w:vAlign w:val="center"/>
          </w:tcPr>
          <w:p w14:paraId="4FCC0718">
            <w:pPr>
              <w:spacing w:before="156" w:beforeLines="50" w:after="156" w:afterLines="50" w:line="480" w:lineRule="exact"/>
              <w:jc w:val="center"/>
              <w:rPr>
                <w:rFonts w:ascii="Times New Roman" w:hAnsi="Times New Roman"/>
                <w:b/>
                <w:color w:val="auto"/>
                <w:szCs w:val="21"/>
              </w:rPr>
            </w:pPr>
            <w:r>
              <w:rPr>
                <w:rFonts w:ascii="Times New Roman" w:hAnsi="Times New Roman"/>
                <w:b/>
                <w:color w:val="auto"/>
                <w:szCs w:val="21"/>
              </w:rPr>
              <w:t>条款号</w:t>
            </w:r>
          </w:p>
        </w:tc>
        <w:tc>
          <w:tcPr>
            <w:tcW w:w="2587" w:type="dxa"/>
            <w:tcBorders>
              <w:top w:val="single" w:color="auto" w:sz="4" w:space="0"/>
              <w:left w:val="single" w:color="auto" w:sz="4" w:space="0"/>
              <w:bottom w:val="single" w:color="auto" w:sz="4" w:space="0"/>
              <w:right w:val="single" w:color="auto" w:sz="4" w:space="0"/>
            </w:tcBorders>
            <w:vAlign w:val="center"/>
          </w:tcPr>
          <w:p w14:paraId="61391156">
            <w:pPr>
              <w:spacing w:before="156" w:beforeLines="50" w:after="156" w:afterLines="50" w:line="480" w:lineRule="exact"/>
              <w:jc w:val="center"/>
              <w:rPr>
                <w:rFonts w:ascii="Times New Roman" w:hAnsi="Times New Roman"/>
                <w:b/>
                <w:color w:val="auto"/>
                <w:szCs w:val="21"/>
              </w:rPr>
            </w:pPr>
            <w:r>
              <w:rPr>
                <w:rFonts w:ascii="Times New Roman" w:hAnsi="Times New Roman"/>
                <w:b/>
                <w:color w:val="auto"/>
                <w:szCs w:val="21"/>
              </w:rPr>
              <w:t>条  款  名  称</w:t>
            </w:r>
          </w:p>
        </w:tc>
        <w:tc>
          <w:tcPr>
            <w:tcW w:w="5387" w:type="dxa"/>
            <w:tcBorders>
              <w:top w:val="single" w:color="auto" w:sz="4" w:space="0"/>
              <w:left w:val="single" w:color="auto" w:sz="4" w:space="0"/>
              <w:bottom w:val="single" w:color="auto" w:sz="4" w:space="0"/>
              <w:right w:val="single" w:color="auto" w:sz="4" w:space="0"/>
            </w:tcBorders>
            <w:vAlign w:val="center"/>
          </w:tcPr>
          <w:p w14:paraId="655B067A">
            <w:pPr>
              <w:spacing w:before="156" w:beforeLines="50" w:after="156" w:afterLines="50" w:line="480" w:lineRule="exact"/>
              <w:jc w:val="center"/>
              <w:rPr>
                <w:rFonts w:ascii="Times New Roman" w:hAnsi="Times New Roman"/>
                <w:b/>
                <w:color w:val="auto"/>
                <w:szCs w:val="21"/>
              </w:rPr>
            </w:pPr>
            <w:r>
              <w:rPr>
                <w:rFonts w:ascii="Times New Roman" w:hAnsi="Times New Roman"/>
                <w:b/>
                <w:color w:val="auto"/>
                <w:szCs w:val="21"/>
              </w:rPr>
              <w:t>编  列  内  容</w:t>
            </w:r>
          </w:p>
        </w:tc>
      </w:tr>
      <w:tr w14:paraId="151923FD">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14:paraId="59F19CEC">
            <w:pPr>
              <w:spacing w:line="480" w:lineRule="exact"/>
              <w:jc w:val="center"/>
              <w:rPr>
                <w:rFonts w:ascii="Times New Roman" w:hAnsi="Times New Roman"/>
                <w:color w:val="auto"/>
                <w:szCs w:val="21"/>
              </w:rPr>
            </w:pPr>
            <w:r>
              <w:rPr>
                <w:rFonts w:ascii="Times New Roman" w:hAnsi="Times New Roman"/>
                <w:color w:val="auto"/>
                <w:szCs w:val="21"/>
              </w:rPr>
              <w:t>1.1.1</w:t>
            </w:r>
          </w:p>
        </w:tc>
        <w:tc>
          <w:tcPr>
            <w:tcW w:w="2587" w:type="dxa"/>
            <w:tcBorders>
              <w:top w:val="single" w:color="auto" w:sz="4" w:space="0"/>
              <w:left w:val="single" w:color="auto" w:sz="4" w:space="0"/>
              <w:bottom w:val="single" w:color="auto" w:sz="4" w:space="0"/>
              <w:right w:val="single" w:color="auto" w:sz="4" w:space="0"/>
            </w:tcBorders>
            <w:vAlign w:val="center"/>
          </w:tcPr>
          <w:p w14:paraId="251DF2DC">
            <w:pPr>
              <w:spacing w:line="480" w:lineRule="exact"/>
              <w:jc w:val="center"/>
              <w:rPr>
                <w:rFonts w:ascii="Times New Roman" w:hAnsi="Times New Roman"/>
                <w:color w:val="auto"/>
                <w:szCs w:val="21"/>
              </w:rPr>
            </w:pPr>
            <w:r>
              <w:rPr>
                <w:rFonts w:ascii="Times New Roman" w:hAnsi="Times New Roman"/>
                <w:color w:val="auto"/>
                <w:szCs w:val="21"/>
              </w:rPr>
              <w:t>质量要求</w:t>
            </w:r>
          </w:p>
        </w:tc>
        <w:tc>
          <w:tcPr>
            <w:tcW w:w="5387" w:type="dxa"/>
            <w:tcBorders>
              <w:top w:val="single" w:color="auto" w:sz="4" w:space="0"/>
              <w:left w:val="single" w:color="auto" w:sz="4" w:space="0"/>
              <w:bottom w:val="single" w:color="auto" w:sz="4" w:space="0"/>
              <w:right w:val="single" w:color="auto" w:sz="4" w:space="0"/>
            </w:tcBorders>
            <w:vAlign w:val="center"/>
          </w:tcPr>
          <w:p w14:paraId="08FAB5B2">
            <w:pPr>
              <w:widowControl/>
              <w:spacing w:line="480" w:lineRule="exact"/>
              <w:jc w:val="center"/>
              <w:rPr>
                <w:rFonts w:ascii="Times New Roman" w:hAnsi="Times New Roman"/>
                <w:color w:val="auto"/>
                <w:kern w:val="0"/>
                <w:szCs w:val="21"/>
              </w:rPr>
            </w:pPr>
            <w:r>
              <w:rPr>
                <w:rFonts w:ascii="Times New Roman" w:hAnsi="Times New Roman"/>
                <w:color w:val="auto"/>
                <w:kern w:val="0"/>
                <w:szCs w:val="21"/>
              </w:rPr>
              <w:t>合格</w:t>
            </w:r>
          </w:p>
        </w:tc>
      </w:tr>
      <w:tr w14:paraId="088DDC94">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14:paraId="00866ED7">
            <w:pPr>
              <w:spacing w:line="480" w:lineRule="exact"/>
              <w:jc w:val="center"/>
              <w:rPr>
                <w:rFonts w:ascii="Times New Roman" w:hAnsi="Times New Roman"/>
                <w:color w:val="auto"/>
                <w:szCs w:val="21"/>
              </w:rPr>
            </w:pPr>
            <w:r>
              <w:rPr>
                <w:rFonts w:ascii="Times New Roman" w:hAnsi="Times New Roman"/>
                <w:color w:val="auto"/>
                <w:szCs w:val="21"/>
              </w:rPr>
              <w:t>1.1.2</w:t>
            </w:r>
          </w:p>
        </w:tc>
        <w:tc>
          <w:tcPr>
            <w:tcW w:w="2587" w:type="dxa"/>
            <w:tcBorders>
              <w:top w:val="single" w:color="auto" w:sz="4" w:space="0"/>
              <w:left w:val="single" w:color="auto" w:sz="4" w:space="0"/>
              <w:bottom w:val="single" w:color="auto" w:sz="4" w:space="0"/>
              <w:right w:val="single" w:color="auto" w:sz="4" w:space="0"/>
            </w:tcBorders>
            <w:vAlign w:val="center"/>
          </w:tcPr>
          <w:p w14:paraId="4056DDFC">
            <w:pPr>
              <w:spacing w:line="480" w:lineRule="exact"/>
              <w:jc w:val="center"/>
              <w:rPr>
                <w:rFonts w:ascii="Times New Roman" w:hAnsi="Times New Roman"/>
                <w:color w:val="auto"/>
                <w:szCs w:val="21"/>
              </w:rPr>
            </w:pPr>
            <w:r>
              <w:rPr>
                <w:rFonts w:ascii="Times New Roman" w:hAnsi="Times New Roman"/>
                <w:color w:val="auto"/>
                <w:szCs w:val="21"/>
              </w:rPr>
              <w:t>安全目标</w:t>
            </w:r>
          </w:p>
        </w:tc>
        <w:tc>
          <w:tcPr>
            <w:tcW w:w="5387" w:type="dxa"/>
            <w:tcBorders>
              <w:top w:val="single" w:color="auto" w:sz="4" w:space="0"/>
              <w:left w:val="single" w:color="auto" w:sz="4" w:space="0"/>
              <w:bottom w:val="single" w:color="auto" w:sz="4" w:space="0"/>
              <w:right w:val="single" w:color="auto" w:sz="4" w:space="0"/>
            </w:tcBorders>
            <w:vAlign w:val="center"/>
          </w:tcPr>
          <w:p w14:paraId="5F8EE902">
            <w:pPr>
              <w:widowControl/>
              <w:spacing w:line="480" w:lineRule="exact"/>
              <w:jc w:val="center"/>
              <w:rPr>
                <w:rFonts w:ascii="Times New Roman" w:hAnsi="Times New Roman"/>
                <w:color w:val="auto"/>
                <w:kern w:val="0"/>
                <w:szCs w:val="21"/>
              </w:rPr>
            </w:pPr>
            <w:r>
              <w:rPr>
                <w:rFonts w:ascii="Times New Roman" w:hAnsi="Times New Roman"/>
                <w:color w:val="auto"/>
                <w:kern w:val="0"/>
                <w:szCs w:val="21"/>
              </w:rPr>
              <w:t>合格</w:t>
            </w:r>
          </w:p>
        </w:tc>
      </w:tr>
      <w:tr w14:paraId="5C3DCFD6">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14:paraId="4553CDFE">
            <w:pPr>
              <w:spacing w:line="480" w:lineRule="exact"/>
              <w:jc w:val="center"/>
              <w:rPr>
                <w:rFonts w:ascii="Times New Roman" w:hAnsi="Times New Roman"/>
                <w:color w:val="auto"/>
                <w:szCs w:val="21"/>
              </w:rPr>
            </w:pPr>
            <w:r>
              <w:rPr>
                <w:rFonts w:ascii="Times New Roman" w:hAnsi="Times New Roman"/>
                <w:color w:val="auto"/>
                <w:szCs w:val="21"/>
              </w:rPr>
              <w:t>1.2.2</w:t>
            </w:r>
          </w:p>
        </w:tc>
        <w:tc>
          <w:tcPr>
            <w:tcW w:w="2587" w:type="dxa"/>
            <w:tcBorders>
              <w:top w:val="single" w:color="auto" w:sz="4" w:space="0"/>
              <w:left w:val="single" w:color="auto" w:sz="4" w:space="0"/>
              <w:bottom w:val="single" w:color="auto" w:sz="4" w:space="0"/>
              <w:right w:val="single" w:color="auto" w:sz="4" w:space="0"/>
            </w:tcBorders>
            <w:vAlign w:val="center"/>
          </w:tcPr>
          <w:p w14:paraId="3B1253E7">
            <w:pPr>
              <w:spacing w:line="480" w:lineRule="exact"/>
              <w:jc w:val="center"/>
              <w:rPr>
                <w:rFonts w:ascii="Times New Roman" w:hAnsi="Times New Roman"/>
                <w:color w:val="auto"/>
                <w:szCs w:val="21"/>
              </w:rPr>
            </w:pPr>
            <w:r>
              <w:rPr>
                <w:rFonts w:ascii="Times New Roman" w:hAnsi="Times New Roman"/>
                <w:color w:val="auto"/>
                <w:szCs w:val="21"/>
              </w:rPr>
              <w:t>供应商其他资格要求</w:t>
            </w:r>
          </w:p>
        </w:tc>
        <w:tc>
          <w:tcPr>
            <w:tcW w:w="5387" w:type="dxa"/>
            <w:tcBorders>
              <w:top w:val="single" w:color="auto" w:sz="4" w:space="0"/>
              <w:left w:val="single" w:color="auto" w:sz="4" w:space="0"/>
              <w:bottom w:val="single" w:color="auto" w:sz="4" w:space="0"/>
              <w:right w:val="single" w:color="auto" w:sz="4" w:space="0"/>
            </w:tcBorders>
            <w:vAlign w:val="center"/>
          </w:tcPr>
          <w:p w14:paraId="49299B76">
            <w:pPr>
              <w:widowControl/>
              <w:spacing w:line="480" w:lineRule="exact"/>
              <w:jc w:val="center"/>
              <w:rPr>
                <w:rFonts w:ascii="Times New Roman" w:hAnsi="Times New Roman"/>
                <w:color w:val="auto"/>
                <w:kern w:val="0"/>
                <w:szCs w:val="21"/>
              </w:rPr>
            </w:pPr>
            <w:r>
              <w:rPr>
                <w:rFonts w:ascii="Times New Roman" w:hAnsi="Times New Roman"/>
                <w:color w:val="auto"/>
                <w:kern w:val="0"/>
                <w:szCs w:val="21"/>
              </w:rPr>
              <w:t>/</w:t>
            </w:r>
          </w:p>
        </w:tc>
      </w:tr>
      <w:tr w14:paraId="61C2E6B9">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14:paraId="4A5B3A01">
            <w:pPr>
              <w:spacing w:line="480" w:lineRule="exact"/>
              <w:jc w:val="center"/>
              <w:rPr>
                <w:rFonts w:ascii="Times New Roman" w:hAnsi="Times New Roman"/>
                <w:color w:val="auto"/>
                <w:szCs w:val="21"/>
              </w:rPr>
            </w:pPr>
            <w:r>
              <w:rPr>
                <w:rFonts w:ascii="Times New Roman" w:hAnsi="Times New Roman"/>
                <w:color w:val="auto"/>
                <w:szCs w:val="21"/>
              </w:rPr>
              <w:t>3.1</w:t>
            </w:r>
          </w:p>
        </w:tc>
        <w:tc>
          <w:tcPr>
            <w:tcW w:w="2587" w:type="dxa"/>
            <w:tcBorders>
              <w:top w:val="single" w:color="auto" w:sz="4" w:space="0"/>
              <w:left w:val="single" w:color="auto" w:sz="4" w:space="0"/>
              <w:bottom w:val="single" w:color="auto" w:sz="4" w:space="0"/>
              <w:right w:val="single" w:color="auto" w:sz="4" w:space="0"/>
            </w:tcBorders>
            <w:vAlign w:val="center"/>
          </w:tcPr>
          <w:p w14:paraId="28CD1C78">
            <w:pPr>
              <w:spacing w:line="480" w:lineRule="exact"/>
              <w:jc w:val="center"/>
              <w:rPr>
                <w:rFonts w:ascii="Times New Roman" w:hAnsi="Times New Roman"/>
                <w:color w:val="auto"/>
                <w:szCs w:val="21"/>
              </w:rPr>
            </w:pPr>
            <w:r>
              <w:rPr>
                <w:rFonts w:ascii="Times New Roman" w:hAnsi="Times New Roman"/>
                <w:color w:val="auto"/>
                <w:szCs w:val="21"/>
              </w:rPr>
              <w:t>响应文件其他材料要求</w:t>
            </w:r>
          </w:p>
        </w:tc>
        <w:tc>
          <w:tcPr>
            <w:tcW w:w="5387" w:type="dxa"/>
            <w:tcBorders>
              <w:top w:val="single" w:color="auto" w:sz="4" w:space="0"/>
              <w:left w:val="single" w:color="auto" w:sz="4" w:space="0"/>
              <w:bottom w:val="single" w:color="auto" w:sz="4" w:space="0"/>
              <w:right w:val="single" w:color="auto" w:sz="4" w:space="0"/>
            </w:tcBorders>
            <w:vAlign w:val="center"/>
          </w:tcPr>
          <w:p w14:paraId="5FC9F4D8">
            <w:pPr>
              <w:widowControl/>
              <w:spacing w:line="480" w:lineRule="exact"/>
              <w:jc w:val="center"/>
              <w:rPr>
                <w:rFonts w:ascii="Times New Roman" w:hAnsi="Times New Roman"/>
                <w:color w:val="auto"/>
                <w:kern w:val="0"/>
                <w:szCs w:val="21"/>
              </w:rPr>
            </w:pPr>
            <w:r>
              <w:rPr>
                <w:rFonts w:ascii="Times New Roman" w:hAnsi="Times New Roman"/>
                <w:color w:val="auto"/>
                <w:kern w:val="0"/>
                <w:szCs w:val="21"/>
              </w:rPr>
              <w:t>见第六章-响应文件格式要求</w:t>
            </w:r>
          </w:p>
        </w:tc>
      </w:tr>
      <w:tr w14:paraId="14C44224">
        <w:tblPrEx>
          <w:tblCellMar>
            <w:top w:w="0" w:type="dxa"/>
            <w:left w:w="108" w:type="dxa"/>
            <w:bottom w:w="0" w:type="dxa"/>
            <w:right w:w="108" w:type="dxa"/>
          </w:tblCellMar>
        </w:tblPrEx>
        <w:trPr>
          <w:trHeight w:val="1057" w:hRule="atLeast"/>
        </w:trPr>
        <w:tc>
          <w:tcPr>
            <w:tcW w:w="1004" w:type="dxa"/>
            <w:tcBorders>
              <w:top w:val="single" w:color="auto" w:sz="4" w:space="0"/>
              <w:left w:val="single" w:color="auto" w:sz="4" w:space="0"/>
              <w:bottom w:val="single" w:color="auto" w:sz="4" w:space="0"/>
              <w:right w:val="single" w:color="auto" w:sz="4" w:space="0"/>
            </w:tcBorders>
            <w:vAlign w:val="center"/>
          </w:tcPr>
          <w:p w14:paraId="0D1A2266">
            <w:pPr>
              <w:spacing w:line="480" w:lineRule="exact"/>
              <w:jc w:val="center"/>
              <w:rPr>
                <w:rFonts w:ascii="Times New Roman" w:hAnsi="Times New Roman"/>
                <w:color w:val="auto"/>
                <w:szCs w:val="21"/>
              </w:rPr>
            </w:pPr>
            <w:r>
              <w:rPr>
                <w:rFonts w:ascii="Times New Roman" w:hAnsi="Times New Roman"/>
                <w:color w:val="auto"/>
                <w:szCs w:val="21"/>
              </w:rPr>
              <w:t>3.2.4</w:t>
            </w:r>
          </w:p>
        </w:tc>
        <w:tc>
          <w:tcPr>
            <w:tcW w:w="2587" w:type="dxa"/>
            <w:tcBorders>
              <w:top w:val="single" w:color="auto" w:sz="4" w:space="0"/>
              <w:left w:val="single" w:color="auto" w:sz="4" w:space="0"/>
              <w:bottom w:val="single" w:color="auto" w:sz="4" w:space="0"/>
              <w:right w:val="single" w:color="auto" w:sz="4" w:space="0"/>
            </w:tcBorders>
            <w:vAlign w:val="center"/>
          </w:tcPr>
          <w:p w14:paraId="3EA658B4">
            <w:pPr>
              <w:spacing w:line="480" w:lineRule="exact"/>
              <w:jc w:val="center"/>
              <w:rPr>
                <w:rFonts w:ascii="Times New Roman" w:hAnsi="Times New Roman"/>
                <w:color w:val="auto"/>
                <w:szCs w:val="21"/>
              </w:rPr>
            </w:pPr>
            <w:r>
              <w:rPr>
                <w:rFonts w:ascii="Times New Roman" w:hAnsi="Times New Roman"/>
                <w:color w:val="auto"/>
                <w:szCs w:val="21"/>
              </w:rPr>
              <w:t>报价方式</w:t>
            </w:r>
          </w:p>
        </w:tc>
        <w:tc>
          <w:tcPr>
            <w:tcW w:w="5387" w:type="dxa"/>
            <w:tcBorders>
              <w:top w:val="single" w:color="auto" w:sz="4" w:space="0"/>
              <w:left w:val="single" w:color="auto" w:sz="4" w:space="0"/>
              <w:bottom w:val="single" w:color="auto" w:sz="4" w:space="0"/>
              <w:right w:val="single" w:color="auto" w:sz="4" w:space="0"/>
            </w:tcBorders>
            <w:vAlign w:val="center"/>
          </w:tcPr>
          <w:p w14:paraId="0EA5CD55">
            <w:pPr>
              <w:spacing w:line="480" w:lineRule="exact"/>
              <w:rPr>
                <w:rFonts w:ascii="Times New Roman" w:hAnsi="Times New Roman"/>
                <w:color w:val="auto"/>
                <w:szCs w:val="21"/>
              </w:rPr>
            </w:pPr>
            <w:r>
              <w:rPr>
                <w:rFonts w:ascii="Times New Roman" w:hAnsi="Times New Roman"/>
                <w:color w:val="auto"/>
                <w:szCs w:val="21"/>
              </w:rPr>
              <w:sym w:font="Wingdings 2" w:char="0052"/>
            </w:r>
            <w:r>
              <w:rPr>
                <w:rFonts w:ascii="Times New Roman" w:hAnsi="Times New Roman"/>
                <w:color w:val="auto"/>
                <w:szCs w:val="21"/>
              </w:rPr>
              <w:t>单价</w:t>
            </w:r>
          </w:p>
          <w:p w14:paraId="09C2E47D">
            <w:pPr>
              <w:spacing w:line="480" w:lineRule="exact"/>
              <w:rPr>
                <w:rFonts w:ascii="Times New Roman" w:hAnsi="Times New Roman"/>
                <w:color w:val="auto"/>
                <w:szCs w:val="21"/>
              </w:rPr>
            </w:pPr>
            <w:r>
              <w:rPr>
                <w:rFonts w:ascii="Times New Roman" w:hAnsi="Times New Roman"/>
                <w:color w:val="auto"/>
                <w:szCs w:val="21"/>
              </w:rPr>
              <w:sym w:font="Wingdings 2" w:char="00A3"/>
            </w:r>
            <w:r>
              <w:rPr>
                <w:rFonts w:ascii="Times New Roman" w:hAnsi="Times New Roman"/>
                <w:color w:val="auto"/>
                <w:szCs w:val="21"/>
              </w:rPr>
              <w:t>总价</w:t>
            </w:r>
          </w:p>
        </w:tc>
      </w:tr>
      <w:tr w14:paraId="5F0FD555">
        <w:tblPrEx>
          <w:tblCellMar>
            <w:top w:w="0" w:type="dxa"/>
            <w:left w:w="108" w:type="dxa"/>
            <w:bottom w:w="0" w:type="dxa"/>
            <w:right w:w="108" w:type="dxa"/>
          </w:tblCellMar>
        </w:tblPrEx>
        <w:trPr>
          <w:trHeight w:val="538" w:hRule="atLeast"/>
        </w:trPr>
        <w:tc>
          <w:tcPr>
            <w:tcW w:w="1004" w:type="dxa"/>
            <w:tcBorders>
              <w:top w:val="single" w:color="auto" w:sz="4" w:space="0"/>
              <w:left w:val="single" w:color="auto" w:sz="4" w:space="0"/>
              <w:bottom w:val="single" w:color="auto" w:sz="4" w:space="0"/>
              <w:right w:val="single" w:color="auto" w:sz="4" w:space="0"/>
            </w:tcBorders>
            <w:vAlign w:val="center"/>
          </w:tcPr>
          <w:p w14:paraId="482A116E">
            <w:pPr>
              <w:spacing w:line="480" w:lineRule="exact"/>
              <w:jc w:val="center"/>
              <w:rPr>
                <w:rFonts w:ascii="Times New Roman" w:hAnsi="Times New Roman"/>
                <w:color w:val="auto"/>
                <w:szCs w:val="21"/>
              </w:rPr>
            </w:pPr>
            <w:r>
              <w:rPr>
                <w:rFonts w:ascii="Times New Roman" w:hAnsi="Times New Roman"/>
                <w:color w:val="auto"/>
                <w:szCs w:val="21"/>
              </w:rPr>
              <w:t>3.2.5</w:t>
            </w:r>
          </w:p>
        </w:tc>
        <w:tc>
          <w:tcPr>
            <w:tcW w:w="2587" w:type="dxa"/>
            <w:tcBorders>
              <w:top w:val="single" w:color="auto" w:sz="4" w:space="0"/>
              <w:left w:val="single" w:color="auto" w:sz="4" w:space="0"/>
              <w:bottom w:val="single" w:color="auto" w:sz="4" w:space="0"/>
              <w:right w:val="single" w:color="auto" w:sz="4" w:space="0"/>
            </w:tcBorders>
            <w:vAlign w:val="center"/>
          </w:tcPr>
          <w:p w14:paraId="10EB8533">
            <w:pPr>
              <w:spacing w:line="480" w:lineRule="exact"/>
              <w:jc w:val="center"/>
              <w:rPr>
                <w:rFonts w:ascii="Times New Roman" w:hAnsi="Times New Roman"/>
                <w:color w:val="auto"/>
                <w:szCs w:val="21"/>
              </w:rPr>
            </w:pPr>
            <w:r>
              <w:rPr>
                <w:rFonts w:ascii="Times New Roman" w:hAnsi="Times New Roman"/>
                <w:color w:val="auto"/>
                <w:szCs w:val="21"/>
              </w:rPr>
              <w:t>报价的其他要求</w:t>
            </w:r>
          </w:p>
        </w:tc>
        <w:tc>
          <w:tcPr>
            <w:tcW w:w="5387" w:type="dxa"/>
            <w:tcBorders>
              <w:top w:val="single" w:color="auto" w:sz="4" w:space="0"/>
              <w:left w:val="single" w:color="auto" w:sz="4" w:space="0"/>
              <w:bottom w:val="single" w:color="auto" w:sz="4" w:space="0"/>
              <w:right w:val="single" w:color="auto" w:sz="4" w:space="0"/>
            </w:tcBorders>
            <w:vAlign w:val="center"/>
          </w:tcPr>
          <w:p w14:paraId="3661C002">
            <w:pPr>
              <w:spacing w:line="480" w:lineRule="exact"/>
              <w:jc w:val="center"/>
              <w:rPr>
                <w:rFonts w:ascii="Times New Roman" w:hAnsi="Times New Roman"/>
                <w:color w:val="auto"/>
                <w:szCs w:val="21"/>
              </w:rPr>
            </w:pPr>
            <w:r>
              <w:rPr>
                <w:rFonts w:ascii="Times New Roman" w:hAnsi="Times New Roman"/>
                <w:color w:val="auto"/>
                <w:szCs w:val="21"/>
              </w:rPr>
              <w:t>/</w:t>
            </w:r>
          </w:p>
        </w:tc>
      </w:tr>
      <w:tr w14:paraId="60354327">
        <w:tblPrEx>
          <w:tblCellMar>
            <w:top w:w="0" w:type="dxa"/>
            <w:left w:w="108" w:type="dxa"/>
            <w:bottom w:w="0" w:type="dxa"/>
            <w:right w:w="108" w:type="dxa"/>
          </w:tblCellMar>
        </w:tblPrEx>
        <w:trPr>
          <w:trHeight w:val="1574" w:hRule="atLeast"/>
        </w:trPr>
        <w:tc>
          <w:tcPr>
            <w:tcW w:w="1004" w:type="dxa"/>
            <w:tcBorders>
              <w:top w:val="single" w:color="auto" w:sz="4" w:space="0"/>
              <w:left w:val="single" w:color="auto" w:sz="4" w:space="0"/>
              <w:bottom w:val="single" w:color="auto" w:sz="4" w:space="0"/>
              <w:right w:val="single" w:color="auto" w:sz="4" w:space="0"/>
            </w:tcBorders>
            <w:vAlign w:val="center"/>
          </w:tcPr>
          <w:p w14:paraId="7D77F817">
            <w:pPr>
              <w:spacing w:line="480" w:lineRule="exact"/>
              <w:jc w:val="center"/>
              <w:rPr>
                <w:rFonts w:ascii="Times New Roman" w:hAnsi="Times New Roman"/>
                <w:color w:val="auto"/>
                <w:szCs w:val="21"/>
              </w:rPr>
            </w:pPr>
            <w:r>
              <w:rPr>
                <w:rFonts w:ascii="Times New Roman" w:hAnsi="Times New Roman"/>
                <w:color w:val="auto"/>
                <w:szCs w:val="21"/>
              </w:rPr>
              <w:t>3.5.3（2）</w:t>
            </w:r>
          </w:p>
        </w:tc>
        <w:tc>
          <w:tcPr>
            <w:tcW w:w="2587" w:type="dxa"/>
            <w:tcBorders>
              <w:top w:val="single" w:color="auto" w:sz="4" w:space="0"/>
              <w:left w:val="single" w:color="auto" w:sz="4" w:space="0"/>
              <w:bottom w:val="single" w:color="auto" w:sz="4" w:space="0"/>
              <w:right w:val="single" w:color="auto" w:sz="4" w:space="0"/>
            </w:tcBorders>
            <w:vAlign w:val="center"/>
          </w:tcPr>
          <w:p w14:paraId="7E757EDE">
            <w:pPr>
              <w:spacing w:line="480" w:lineRule="exact"/>
              <w:jc w:val="center"/>
              <w:rPr>
                <w:rFonts w:ascii="Times New Roman" w:hAnsi="Times New Roman"/>
                <w:color w:val="auto"/>
              </w:rPr>
            </w:pPr>
            <w:r>
              <w:rPr>
                <w:rFonts w:ascii="Times New Roman" w:hAnsi="Times New Roman"/>
                <w:color w:val="auto"/>
              </w:rPr>
              <w:t>响应文件正副本份数</w:t>
            </w:r>
          </w:p>
        </w:tc>
        <w:tc>
          <w:tcPr>
            <w:tcW w:w="5387" w:type="dxa"/>
            <w:tcBorders>
              <w:top w:val="single" w:color="auto" w:sz="4" w:space="0"/>
              <w:left w:val="single" w:color="auto" w:sz="4" w:space="0"/>
              <w:bottom w:val="single" w:color="auto" w:sz="4" w:space="0"/>
              <w:right w:val="single" w:color="auto" w:sz="4" w:space="0"/>
            </w:tcBorders>
            <w:vAlign w:val="center"/>
          </w:tcPr>
          <w:p w14:paraId="7C90F5DE">
            <w:pPr>
              <w:spacing w:line="480" w:lineRule="exact"/>
              <w:rPr>
                <w:rFonts w:ascii="Times New Roman" w:hAnsi="Times New Roman"/>
                <w:color w:val="auto"/>
                <w:szCs w:val="21"/>
                <w:u w:val="single"/>
              </w:rPr>
            </w:pPr>
            <w:r>
              <w:rPr>
                <w:rFonts w:ascii="Times New Roman" w:hAnsi="Times New Roman"/>
                <w:color w:val="auto"/>
                <w:szCs w:val="21"/>
                <w:u w:val="single"/>
              </w:rPr>
              <w:t xml:space="preserve"> 2 </w:t>
            </w:r>
            <w:r>
              <w:rPr>
                <w:rFonts w:ascii="Times New Roman" w:hAnsi="Times New Roman"/>
                <w:color w:val="auto"/>
                <w:szCs w:val="21"/>
              </w:rPr>
              <w:t>份（其中正本</w:t>
            </w:r>
            <w:r>
              <w:rPr>
                <w:rFonts w:ascii="Times New Roman" w:hAnsi="Times New Roman"/>
                <w:color w:val="auto"/>
                <w:szCs w:val="21"/>
                <w:u w:val="single"/>
              </w:rPr>
              <w:t xml:space="preserve"> 1 </w:t>
            </w:r>
            <w:r>
              <w:rPr>
                <w:rFonts w:ascii="Times New Roman" w:hAnsi="Times New Roman"/>
                <w:color w:val="auto"/>
                <w:szCs w:val="21"/>
              </w:rPr>
              <w:t>份，副本</w:t>
            </w:r>
            <w:r>
              <w:rPr>
                <w:rFonts w:ascii="Times New Roman" w:hAnsi="Times New Roman"/>
                <w:color w:val="auto"/>
                <w:szCs w:val="21"/>
                <w:u w:val="single"/>
              </w:rPr>
              <w:t xml:space="preserve"> 1 </w:t>
            </w:r>
            <w:r>
              <w:rPr>
                <w:rFonts w:ascii="Times New Roman" w:hAnsi="Times New Roman"/>
                <w:color w:val="auto"/>
                <w:szCs w:val="21"/>
              </w:rPr>
              <w:t>份），正本和副本的封面右上角上应清楚地标记“正本”或“副本”的字样。当副本和正本不一致时，以正本文件为准。同时提供响应文件盖章扫描件电子版（U盘）一份。</w:t>
            </w:r>
          </w:p>
        </w:tc>
      </w:tr>
      <w:tr w14:paraId="47E0D256">
        <w:tblPrEx>
          <w:tblCellMar>
            <w:top w:w="0" w:type="dxa"/>
            <w:left w:w="108" w:type="dxa"/>
            <w:bottom w:w="0" w:type="dxa"/>
            <w:right w:w="108" w:type="dxa"/>
          </w:tblCellMar>
        </w:tblPrEx>
        <w:trPr>
          <w:trHeight w:val="843" w:hRule="atLeast"/>
        </w:trPr>
        <w:tc>
          <w:tcPr>
            <w:tcW w:w="1004" w:type="dxa"/>
            <w:tcBorders>
              <w:top w:val="single" w:color="auto" w:sz="4" w:space="0"/>
              <w:left w:val="single" w:color="auto" w:sz="4" w:space="0"/>
              <w:bottom w:val="single" w:color="auto" w:sz="4" w:space="0"/>
              <w:right w:val="single" w:color="auto" w:sz="4" w:space="0"/>
            </w:tcBorders>
            <w:vAlign w:val="center"/>
          </w:tcPr>
          <w:p w14:paraId="765E1298">
            <w:pPr>
              <w:spacing w:line="480" w:lineRule="exact"/>
              <w:jc w:val="center"/>
              <w:rPr>
                <w:rFonts w:ascii="Times New Roman" w:hAnsi="Times New Roman"/>
                <w:color w:val="auto"/>
                <w:szCs w:val="21"/>
              </w:rPr>
            </w:pPr>
            <w:r>
              <w:rPr>
                <w:rFonts w:ascii="Times New Roman" w:hAnsi="Times New Roman"/>
                <w:color w:val="auto"/>
                <w:szCs w:val="21"/>
              </w:rPr>
              <w:t>5.2</w:t>
            </w:r>
          </w:p>
        </w:tc>
        <w:tc>
          <w:tcPr>
            <w:tcW w:w="2587" w:type="dxa"/>
            <w:tcBorders>
              <w:top w:val="single" w:color="auto" w:sz="4" w:space="0"/>
              <w:left w:val="single" w:color="auto" w:sz="4" w:space="0"/>
              <w:bottom w:val="single" w:color="auto" w:sz="4" w:space="0"/>
              <w:right w:val="single" w:color="auto" w:sz="4" w:space="0"/>
            </w:tcBorders>
            <w:vAlign w:val="center"/>
          </w:tcPr>
          <w:p w14:paraId="11FC52D9">
            <w:pPr>
              <w:spacing w:line="480" w:lineRule="exact"/>
              <w:jc w:val="center"/>
              <w:rPr>
                <w:rFonts w:ascii="Times New Roman" w:hAnsi="Times New Roman"/>
                <w:color w:val="auto"/>
                <w:szCs w:val="21"/>
              </w:rPr>
            </w:pPr>
            <w:r>
              <w:rPr>
                <w:rFonts w:ascii="Times New Roman" w:hAnsi="Times New Roman"/>
                <w:color w:val="auto"/>
                <w:szCs w:val="21"/>
              </w:rPr>
              <w:t>启封公布的其他内容</w:t>
            </w:r>
          </w:p>
        </w:tc>
        <w:tc>
          <w:tcPr>
            <w:tcW w:w="5387" w:type="dxa"/>
            <w:tcBorders>
              <w:top w:val="single" w:color="auto" w:sz="4" w:space="0"/>
              <w:left w:val="single" w:color="auto" w:sz="4" w:space="0"/>
              <w:bottom w:val="single" w:color="auto" w:sz="4" w:space="0"/>
              <w:right w:val="single" w:color="auto" w:sz="4" w:space="0"/>
            </w:tcBorders>
            <w:vAlign w:val="center"/>
          </w:tcPr>
          <w:p w14:paraId="18030B9A">
            <w:pPr>
              <w:spacing w:line="480" w:lineRule="exact"/>
              <w:jc w:val="center"/>
              <w:rPr>
                <w:rFonts w:ascii="Times New Roman" w:hAnsi="Times New Roman"/>
                <w:color w:val="auto"/>
                <w:szCs w:val="21"/>
              </w:rPr>
            </w:pPr>
            <w:r>
              <w:rPr>
                <w:rFonts w:ascii="Times New Roman" w:hAnsi="Times New Roman"/>
                <w:color w:val="auto"/>
                <w:szCs w:val="21"/>
              </w:rPr>
              <w:t>/</w:t>
            </w:r>
          </w:p>
        </w:tc>
      </w:tr>
      <w:tr w14:paraId="0011848B">
        <w:tblPrEx>
          <w:tblCellMar>
            <w:top w:w="0" w:type="dxa"/>
            <w:left w:w="108" w:type="dxa"/>
            <w:bottom w:w="0" w:type="dxa"/>
            <w:right w:w="108" w:type="dxa"/>
          </w:tblCellMar>
        </w:tblPrEx>
        <w:trPr>
          <w:trHeight w:val="843" w:hRule="atLeast"/>
        </w:trPr>
        <w:tc>
          <w:tcPr>
            <w:tcW w:w="1004" w:type="dxa"/>
            <w:tcBorders>
              <w:top w:val="single" w:color="auto" w:sz="4" w:space="0"/>
              <w:left w:val="single" w:color="auto" w:sz="4" w:space="0"/>
              <w:bottom w:val="single" w:color="auto" w:sz="4" w:space="0"/>
              <w:right w:val="single" w:color="auto" w:sz="4" w:space="0"/>
            </w:tcBorders>
            <w:vAlign w:val="center"/>
          </w:tcPr>
          <w:p w14:paraId="16F1FA59">
            <w:pPr>
              <w:spacing w:line="480" w:lineRule="exact"/>
              <w:jc w:val="center"/>
              <w:rPr>
                <w:rFonts w:ascii="Times New Roman" w:hAnsi="Times New Roman"/>
                <w:color w:val="auto"/>
                <w:szCs w:val="21"/>
              </w:rPr>
            </w:pPr>
            <w:r>
              <w:rPr>
                <w:rFonts w:ascii="Times New Roman" w:hAnsi="Times New Roman"/>
                <w:color w:val="auto"/>
                <w:szCs w:val="21"/>
              </w:rPr>
              <w:t>6.2.3（4）</w:t>
            </w:r>
          </w:p>
        </w:tc>
        <w:tc>
          <w:tcPr>
            <w:tcW w:w="2587" w:type="dxa"/>
            <w:tcBorders>
              <w:top w:val="single" w:color="auto" w:sz="4" w:space="0"/>
              <w:left w:val="single" w:color="auto" w:sz="4" w:space="0"/>
              <w:bottom w:val="single" w:color="auto" w:sz="4" w:space="0"/>
              <w:right w:val="single" w:color="auto" w:sz="4" w:space="0"/>
            </w:tcBorders>
            <w:vAlign w:val="center"/>
          </w:tcPr>
          <w:p w14:paraId="5C1DD849">
            <w:pPr>
              <w:spacing w:line="480" w:lineRule="exact"/>
              <w:jc w:val="center"/>
              <w:rPr>
                <w:rFonts w:ascii="Times New Roman" w:hAnsi="Times New Roman"/>
                <w:color w:val="auto"/>
                <w:szCs w:val="21"/>
              </w:rPr>
            </w:pPr>
            <w:r>
              <w:rPr>
                <w:rFonts w:ascii="Times New Roman" w:hAnsi="Times New Roman"/>
                <w:color w:val="auto"/>
                <w:szCs w:val="21"/>
              </w:rPr>
              <w:t>其他不予计入评审基准价计算的情形</w:t>
            </w:r>
          </w:p>
        </w:tc>
        <w:tc>
          <w:tcPr>
            <w:tcW w:w="5387" w:type="dxa"/>
            <w:tcBorders>
              <w:top w:val="single" w:color="auto" w:sz="4" w:space="0"/>
              <w:left w:val="single" w:color="auto" w:sz="4" w:space="0"/>
              <w:bottom w:val="single" w:color="auto" w:sz="4" w:space="0"/>
              <w:right w:val="single" w:color="auto" w:sz="4" w:space="0"/>
            </w:tcBorders>
            <w:vAlign w:val="center"/>
          </w:tcPr>
          <w:p w14:paraId="7FFF4BF2">
            <w:pPr>
              <w:snapToGrid w:val="0"/>
              <w:spacing w:line="480" w:lineRule="exact"/>
              <w:jc w:val="center"/>
              <w:rPr>
                <w:rFonts w:ascii="Times New Roman" w:hAnsi="Times New Roman"/>
                <w:color w:val="auto"/>
                <w:szCs w:val="21"/>
              </w:rPr>
            </w:pPr>
            <w:r>
              <w:rPr>
                <w:rFonts w:ascii="Times New Roman" w:hAnsi="Times New Roman"/>
                <w:color w:val="auto"/>
                <w:szCs w:val="21"/>
              </w:rPr>
              <w:t>/</w:t>
            </w:r>
          </w:p>
        </w:tc>
      </w:tr>
      <w:tr w14:paraId="6A034117">
        <w:tblPrEx>
          <w:tblCellMar>
            <w:top w:w="0" w:type="dxa"/>
            <w:left w:w="108" w:type="dxa"/>
            <w:bottom w:w="0" w:type="dxa"/>
            <w:right w:w="108" w:type="dxa"/>
          </w:tblCellMar>
        </w:tblPrEx>
        <w:trPr>
          <w:trHeight w:val="538" w:hRule="atLeast"/>
        </w:trPr>
        <w:tc>
          <w:tcPr>
            <w:tcW w:w="8978" w:type="dxa"/>
            <w:gridSpan w:val="3"/>
            <w:tcBorders>
              <w:top w:val="single" w:color="auto" w:sz="4" w:space="0"/>
              <w:left w:val="single" w:color="auto" w:sz="4" w:space="0"/>
              <w:bottom w:val="single" w:color="auto" w:sz="4" w:space="0"/>
              <w:right w:val="single" w:color="auto" w:sz="4" w:space="0"/>
            </w:tcBorders>
            <w:vAlign w:val="center"/>
          </w:tcPr>
          <w:p w14:paraId="3B168543">
            <w:pPr>
              <w:snapToGrid w:val="0"/>
              <w:spacing w:line="480" w:lineRule="exact"/>
              <w:rPr>
                <w:rFonts w:ascii="Times New Roman" w:hAnsi="Times New Roman"/>
                <w:color w:val="auto"/>
                <w:szCs w:val="21"/>
              </w:rPr>
            </w:pPr>
            <w:r>
              <w:rPr>
                <w:rFonts w:ascii="Times New Roman" w:hAnsi="Times New Roman"/>
                <w:color w:val="auto"/>
                <w:szCs w:val="21"/>
              </w:rPr>
              <w:t>10需要补充的其他内容</w:t>
            </w:r>
          </w:p>
        </w:tc>
      </w:tr>
      <w:tr w14:paraId="7A3F03D3">
        <w:tblPrEx>
          <w:tblCellMar>
            <w:top w:w="0" w:type="dxa"/>
            <w:left w:w="108" w:type="dxa"/>
            <w:bottom w:w="0" w:type="dxa"/>
            <w:right w:w="108" w:type="dxa"/>
          </w:tblCellMar>
        </w:tblPrEx>
        <w:trPr>
          <w:trHeight w:val="592" w:hRule="atLeast"/>
        </w:trPr>
        <w:tc>
          <w:tcPr>
            <w:tcW w:w="1004" w:type="dxa"/>
            <w:tcBorders>
              <w:top w:val="single" w:color="auto" w:sz="4" w:space="0"/>
              <w:left w:val="single" w:color="auto" w:sz="4" w:space="0"/>
              <w:bottom w:val="single" w:color="auto" w:sz="4" w:space="0"/>
              <w:right w:val="single" w:color="auto" w:sz="4" w:space="0"/>
            </w:tcBorders>
            <w:vAlign w:val="center"/>
          </w:tcPr>
          <w:p w14:paraId="19E51076">
            <w:pPr>
              <w:spacing w:line="480" w:lineRule="exact"/>
              <w:jc w:val="center"/>
              <w:rPr>
                <w:rFonts w:ascii="Times New Roman" w:hAnsi="Times New Roman"/>
                <w:color w:val="auto"/>
                <w:szCs w:val="21"/>
              </w:rPr>
            </w:pPr>
            <w:r>
              <w:rPr>
                <w:rFonts w:ascii="Times New Roman" w:hAnsi="Times New Roman"/>
                <w:color w:val="auto"/>
                <w:szCs w:val="21"/>
              </w:rPr>
              <w:t>10</w:t>
            </w:r>
          </w:p>
        </w:tc>
        <w:tc>
          <w:tcPr>
            <w:tcW w:w="2587" w:type="dxa"/>
            <w:tcBorders>
              <w:top w:val="single" w:color="auto" w:sz="4" w:space="0"/>
              <w:left w:val="single" w:color="auto" w:sz="4" w:space="0"/>
              <w:bottom w:val="single" w:color="auto" w:sz="4" w:space="0"/>
              <w:right w:val="single" w:color="auto" w:sz="4" w:space="0"/>
            </w:tcBorders>
            <w:vAlign w:val="center"/>
          </w:tcPr>
          <w:p w14:paraId="03B53113">
            <w:pPr>
              <w:spacing w:line="480" w:lineRule="exact"/>
              <w:jc w:val="center"/>
              <w:rPr>
                <w:rFonts w:ascii="Times New Roman" w:hAnsi="Times New Roman"/>
                <w:color w:val="auto"/>
                <w:szCs w:val="21"/>
              </w:rPr>
            </w:pPr>
            <w:r>
              <w:rPr>
                <w:rFonts w:ascii="Times New Roman" w:hAnsi="Times New Roman"/>
                <w:color w:val="auto"/>
                <w:szCs w:val="21"/>
              </w:rPr>
              <w:t>……</w:t>
            </w:r>
          </w:p>
        </w:tc>
        <w:tc>
          <w:tcPr>
            <w:tcW w:w="5387" w:type="dxa"/>
            <w:tcBorders>
              <w:top w:val="single" w:color="auto" w:sz="4" w:space="0"/>
              <w:left w:val="single" w:color="auto" w:sz="4" w:space="0"/>
              <w:bottom w:val="single" w:color="auto" w:sz="4" w:space="0"/>
              <w:right w:val="single" w:color="auto" w:sz="4" w:space="0"/>
            </w:tcBorders>
            <w:vAlign w:val="center"/>
          </w:tcPr>
          <w:p w14:paraId="59284DD7">
            <w:pPr>
              <w:spacing w:line="480" w:lineRule="exact"/>
              <w:jc w:val="center"/>
              <w:rPr>
                <w:rFonts w:ascii="Times New Roman" w:hAnsi="Times New Roman"/>
                <w:color w:val="auto"/>
                <w:szCs w:val="21"/>
              </w:rPr>
            </w:pPr>
            <w:r>
              <w:rPr>
                <w:rFonts w:ascii="Times New Roman" w:hAnsi="Times New Roman"/>
                <w:color w:val="auto"/>
                <w:szCs w:val="21"/>
              </w:rPr>
              <w:t>/</w:t>
            </w:r>
          </w:p>
        </w:tc>
      </w:tr>
    </w:tbl>
    <w:p w14:paraId="5E82A3DF">
      <w:pPr>
        <w:spacing w:before="156" w:beforeLines="50" w:after="156" w:afterLines="50" w:line="360" w:lineRule="auto"/>
        <w:outlineLvl w:val="1"/>
        <w:rPr>
          <w:rFonts w:ascii="Times New Roman" w:hAnsi="Times New Roman" w:eastAsia="黑体"/>
          <w:bCs/>
          <w:color w:val="auto"/>
          <w:sz w:val="32"/>
          <w:szCs w:val="32"/>
        </w:rPr>
      </w:pPr>
      <w:r>
        <w:rPr>
          <w:rFonts w:ascii="Times New Roman" w:hAnsi="Times New Roman"/>
          <w:color w:val="auto"/>
          <w:szCs w:val="21"/>
        </w:rPr>
        <w:t>注：供应商须知正文与前附表内容不一致时，以供应商须知前附表的内容为准。</w:t>
      </w:r>
    </w:p>
    <w:p w14:paraId="54D58358">
      <w:pPr>
        <w:keepNext/>
        <w:keepLines/>
        <w:spacing w:line="560" w:lineRule="exact"/>
        <w:ind w:firstLine="640" w:firstLineChars="200"/>
        <w:outlineLvl w:val="1"/>
        <w:rPr>
          <w:rFonts w:ascii="Times New Roman" w:hAnsi="Times New Roman" w:eastAsia="黑体"/>
          <w:bCs/>
          <w:color w:val="auto"/>
          <w:sz w:val="32"/>
          <w:szCs w:val="32"/>
        </w:rPr>
        <w:sectPr>
          <w:footerReference r:id="rId5" w:type="default"/>
          <w:footnotePr>
            <w:numFmt w:val="decimalEnclosedCircleChinese"/>
            <w:numRestart w:val="eachPage"/>
          </w:footnotePr>
          <w:pgSz w:w="11906" w:h="16838"/>
          <w:pgMar w:top="1440" w:right="1797" w:bottom="1440" w:left="1797" w:header="851" w:footer="992" w:gutter="0"/>
          <w:cols w:space="720" w:num="1"/>
          <w:docGrid w:type="linesAndChars" w:linePitch="312" w:charSpace="0"/>
        </w:sectPr>
      </w:pPr>
    </w:p>
    <w:p w14:paraId="1E1C9EF0">
      <w:pPr>
        <w:spacing w:line="560" w:lineRule="exact"/>
        <w:ind w:firstLine="640" w:firstLineChars="200"/>
        <w:outlineLvl w:val="1"/>
        <w:rPr>
          <w:rFonts w:ascii="Times New Roman" w:hAnsi="Times New Roman" w:eastAsia="黑体"/>
          <w:bCs/>
          <w:color w:val="auto"/>
          <w:sz w:val="32"/>
          <w:szCs w:val="32"/>
        </w:rPr>
      </w:pPr>
      <w:r>
        <w:rPr>
          <w:rFonts w:ascii="Times New Roman" w:hAnsi="Times New Roman" w:eastAsia="黑体"/>
          <w:bCs/>
          <w:color w:val="auto"/>
          <w:sz w:val="32"/>
          <w:szCs w:val="32"/>
        </w:rPr>
        <w:t>1. 总则</w:t>
      </w:r>
      <w:bookmarkEnd w:id="11"/>
      <w:bookmarkEnd w:id="12"/>
      <w:bookmarkEnd w:id="13"/>
    </w:p>
    <w:p w14:paraId="4B0A1A1B">
      <w:pPr>
        <w:spacing w:line="560" w:lineRule="exact"/>
        <w:ind w:firstLine="640" w:firstLineChars="200"/>
        <w:outlineLvl w:val="2"/>
        <w:rPr>
          <w:rFonts w:ascii="Times New Roman" w:hAnsi="Times New Roman" w:eastAsia="仿宋_GB2312"/>
          <w:bCs/>
          <w:color w:val="auto"/>
          <w:sz w:val="32"/>
          <w:szCs w:val="32"/>
        </w:rPr>
      </w:pPr>
      <w:bookmarkStart w:id="14" w:name="_Toc14201208"/>
      <w:bookmarkStart w:id="15" w:name="_Toc26656939"/>
      <w:r>
        <w:rPr>
          <w:rFonts w:ascii="Times New Roman" w:hAnsi="Times New Roman" w:eastAsia="仿宋_GB2312"/>
          <w:bCs/>
          <w:color w:val="auto"/>
          <w:sz w:val="32"/>
          <w:szCs w:val="32"/>
        </w:rPr>
        <w:t xml:space="preserve">1.1 </w:t>
      </w:r>
      <w:bookmarkEnd w:id="14"/>
      <w:bookmarkEnd w:id="15"/>
      <w:bookmarkStart w:id="16" w:name="_Toc14201210"/>
      <w:bookmarkStart w:id="17" w:name="_Toc26656941"/>
      <w:r>
        <w:rPr>
          <w:rFonts w:ascii="Times New Roman" w:hAnsi="Times New Roman" w:eastAsia="仿宋_GB2312"/>
          <w:bCs/>
          <w:color w:val="auto"/>
          <w:sz w:val="32"/>
          <w:szCs w:val="32"/>
        </w:rPr>
        <w:t>质量要求</w:t>
      </w:r>
      <w:bookmarkEnd w:id="16"/>
      <w:bookmarkEnd w:id="17"/>
    </w:p>
    <w:p w14:paraId="5D984B22">
      <w:pPr>
        <w:spacing w:line="560" w:lineRule="exact"/>
        <w:ind w:firstLine="640" w:firstLineChars="200"/>
        <w:jc w:val="left"/>
        <w:rPr>
          <w:rFonts w:ascii="Times New Roman" w:hAnsi="Times New Roman" w:eastAsia="仿宋_GB2312"/>
          <w:color w:val="auto"/>
          <w:sz w:val="32"/>
          <w:szCs w:val="32"/>
        </w:rPr>
      </w:pPr>
      <w:r>
        <w:rPr>
          <w:rFonts w:ascii="Times New Roman" w:hAnsi="Times New Roman" w:eastAsia="仿宋_GB2312"/>
          <w:color w:val="auto"/>
          <w:sz w:val="32"/>
          <w:szCs w:val="32"/>
        </w:rPr>
        <w:t>1.1.1本合同包的质量要求：见供应商须知前附表。</w:t>
      </w:r>
      <w:bookmarkStart w:id="18" w:name="_Toc26656942"/>
      <w:bookmarkStart w:id="19" w:name="_Toc14201211"/>
    </w:p>
    <w:p w14:paraId="36874293">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1.1.2本合同包的安全目标：见供应商须知前附表。</w:t>
      </w:r>
    </w:p>
    <w:p w14:paraId="7E11D87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1.2 供应商资格要求</w:t>
      </w:r>
      <w:bookmarkEnd w:id="18"/>
      <w:bookmarkEnd w:id="19"/>
    </w:p>
    <w:p w14:paraId="0DAA4FF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1.2.1供应商应具备承担本合同包供货的资质条件、能力和信誉：见第一章-采购公告第3.1款要求。</w:t>
      </w:r>
    </w:p>
    <w:p w14:paraId="59CB28A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1.2.2 其他要求：见供应商须知前附表。</w:t>
      </w:r>
    </w:p>
    <w:p w14:paraId="61E43C2D">
      <w:pPr>
        <w:spacing w:line="560" w:lineRule="exact"/>
        <w:ind w:firstLine="640" w:firstLineChars="200"/>
        <w:outlineLvl w:val="2"/>
        <w:rPr>
          <w:rFonts w:ascii="Times New Roman" w:hAnsi="Times New Roman" w:eastAsia="仿宋_GB2312"/>
          <w:bCs/>
          <w:color w:val="auto"/>
          <w:sz w:val="32"/>
          <w:szCs w:val="32"/>
        </w:rPr>
      </w:pPr>
      <w:bookmarkStart w:id="20" w:name="_Toc26656943"/>
      <w:bookmarkStart w:id="21" w:name="_Toc14201212"/>
      <w:bookmarkStart w:id="22" w:name="_Toc14201220"/>
      <w:bookmarkStart w:id="23" w:name="_Toc9067721"/>
      <w:bookmarkStart w:id="24" w:name="_Toc26656951"/>
      <w:r>
        <w:rPr>
          <w:rFonts w:ascii="Times New Roman" w:hAnsi="Times New Roman" w:eastAsia="仿宋_GB2312"/>
          <w:bCs/>
          <w:color w:val="auto"/>
          <w:sz w:val="32"/>
          <w:szCs w:val="32"/>
        </w:rPr>
        <w:t>1.3 费用承担</w:t>
      </w:r>
      <w:bookmarkEnd w:id="20"/>
      <w:bookmarkEnd w:id="21"/>
    </w:p>
    <w:p w14:paraId="0BE5878E">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供应商准备和参加询比活动发生的费用自理。</w:t>
      </w:r>
    </w:p>
    <w:p w14:paraId="7F8E1A10">
      <w:pPr>
        <w:spacing w:line="560" w:lineRule="exact"/>
        <w:ind w:firstLine="640" w:firstLineChars="200"/>
        <w:outlineLvl w:val="2"/>
        <w:rPr>
          <w:rFonts w:ascii="Times New Roman" w:hAnsi="Times New Roman" w:eastAsia="仿宋_GB2312"/>
          <w:bCs/>
          <w:color w:val="auto"/>
          <w:sz w:val="32"/>
          <w:szCs w:val="32"/>
        </w:rPr>
      </w:pPr>
      <w:bookmarkStart w:id="25" w:name="_Toc14201213"/>
      <w:bookmarkStart w:id="26" w:name="_Toc26656944"/>
      <w:r>
        <w:rPr>
          <w:rFonts w:ascii="Times New Roman" w:hAnsi="Times New Roman" w:eastAsia="仿宋_GB2312"/>
          <w:bCs/>
          <w:color w:val="auto"/>
          <w:sz w:val="32"/>
          <w:szCs w:val="32"/>
        </w:rPr>
        <w:t>1.4 保密</w:t>
      </w:r>
      <w:bookmarkEnd w:id="25"/>
      <w:bookmarkEnd w:id="26"/>
    </w:p>
    <w:p w14:paraId="098AE2F5">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参与询比活动的各方应对询比文件和响应文件中的商业和技术等秘密保密，否则应承担相应的法律责任。</w:t>
      </w:r>
    </w:p>
    <w:p w14:paraId="30319052">
      <w:pPr>
        <w:spacing w:line="560" w:lineRule="exact"/>
        <w:ind w:firstLine="640" w:firstLineChars="200"/>
        <w:outlineLvl w:val="2"/>
        <w:rPr>
          <w:rFonts w:ascii="Times New Roman" w:hAnsi="Times New Roman" w:eastAsia="仿宋_GB2312"/>
          <w:bCs/>
          <w:color w:val="auto"/>
          <w:sz w:val="32"/>
          <w:szCs w:val="32"/>
        </w:rPr>
      </w:pPr>
      <w:bookmarkStart w:id="27" w:name="_Toc26656946"/>
      <w:bookmarkStart w:id="28" w:name="_Toc14201215"/>
      <w:r>
        <w:rPr>
          <w:rFonts w:ascii="Times New Roman" w:hAnsi="Times New Roman" w:eastAsia="仿宋_GB2312"/>
          <w:bCs/>
          <w:color w:val="auto"/>
          <w:sz w:val="32"/>
          <w:szCs w:val="32"/>
        </w:rPr>
        <w:t>1.5 计量单位</w:t>
      </w:r>
      <w:bookmarkEnd w:id="27"/>
      <w:bookmarkEnd w:id="28"/>
    </w:p>
    <w:p w14:paraId="787A5FEB">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所有计量均采用中华人民共和国法定计量单位。</w:t>
      </w:r>
    </w:p>
    <w:p w14:paraId="09BEBB2D">
      <w:pPr>
        <w:spacing w:line="560" w:lineRule="exact"/>
        <w:ind w:firstLine="640" w:firstLineChars="200"/>
        <w:outlineLvl w:val="2"/>
        <w:rPr>
          <w:rFonts w:ascii="Times New Roman" w:hAnsi="Times New Roman" w:eastAsia="仿宋_GB2312"/>
          <w:bCs/>
          <w:color w:val="auto"/>
          <w:sz w:val="32"/>
          <w:szCs w:val="32"/>
        </w:rPr>
      </w:pPr>
      <w:bookmarkStart w:id="29" w:name="_Toc26656947"/>
      <w:bookmarkStart w:id="30" w:name="_Toc14201216"/>
      <w:r>
        <w:rPr>
          <w:rFonts w:ascii="Times New Roman" w:hAnsi="Times New Roman" w:eastAsia="仿宋_GB2312"/>
          <w:bCs/>
          <w:color w:val="auto"/>
          <w:sz w:val="32"/>
          <w:szCs w:val="32"/>
        </w:rPr>
        <w:t>1.6 踏勘现场</w:t>
      </w:r>
      <w:bookmarkEnd w:id="29"/>
      <w:bookmarkEnd w:id="30"/>
    </w:p>
    <w:p w14:paraId="751F6A1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供应商自行踏勘现场且费用自理。</w:t>
      </w:r>
    </w:p>
    <w:p w14:paraId="5136C049">
      <w:pPr>
        <w:spacing w:line="560" w:lineRule="exact"/>
        <w:ind w:firstLine="640" w:firstLineChars="200"/>
        <w:outlineLvl w:val="2"/>
        <w:rPr>
          <w:rFonts w:ascii="Times New Roman" w:hAnsi="Times New Roman" w:eastAsia="仿宋_GB2312"/>
          <w:bCs/>
          <w:color w:val="auto"/>
          <w:sz w:val="32"/>
          <w:szCs w:val="32"/>
        </w:rPr>
      </w:pPr>
      <w:bookmarkStart w:id="31" w:name="_Toc26656949"/>
      <w:bookmarkStart w:id="32" w:name="_Toc14201218"/>
      <w:r>
        <w:rPr>
          <w:rFonts w:ascii="Times New Roman" w:hAnsi="Times New Roman" w:eastAsia="仿宋_GB2312"/>
          <w:bCs/>
          <w:color w:val="auto"/>
          <w:sz w:val="32"/>
          <w:szCs w:val="32"/>
        </w:rPr>
        <w:t>1.7 分包</w:t>
      </w:r>
      <w:bookmarkEnd w:id="31"/>
      <w:bookmarkEnd w:id="32"/>
    </w:p>
    <w:p w14:paraId="3C7BA422">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不允许分包。        </w:t>
      </w:r>
    </w:p>
    <w:p w14:paraId="6E54909A">
      <w:pPr>
        <w:spacing w:line="560" w:lineRule="exact"/>
        <w:ind w:firstLine="640" w:firstLineChars="200"/>
        <w:outlineLvl w:val="2"/>
        <w:rPr>
          <w:rFonts w:ascii="Times New Roman" w:hAnsi="Times New Roman" w:eastAsia="仿宋_GB2312"/>
          <w:bCs/>
          <w:color w:val="auto"/>
          <w:sz w:val="32"/>
          <w:szCs w:val="32"/>
        </w:rPr>
      </w:pPr>
      <w:bookmarkStart w:id="33" w:name="_Toc14201219"/>
      <w:bookmarkStart w:id="34" w:name="_Toc26656950"/>
      <w:r>
        <w:rPr>
          <w:rFonts w:ascii="Times New Roman" w:hAnsi="Times New Roman" w:eastAsia="仿宋_GB2312"/>
          <w:bCs/>
          <w:color w:val="auto"/>
          <w:sz w:val="32"/>
          <w:szCs w:val="32"/>
        </w:rPr>
        <w:t>1.8 偏</w:t>
      </w:r>
      <w:bookmarkEnd w:id="33"/>
      <w:bookmarkEnd w:id="34"/>
      <w:r>
        <w:rPr>
          <w:rFonts w:ascii="Times New Roman" w:hAnsi="Times New Roman" w:eastAsia="仿宋_GB2312"/>
          <w:bCs/>
          <w:color w:val="auto"/>
          <w:sz w:val="32"/>
          <w:szCs w:val="32"/>
        </w:rPr>
        <w:t>差</w:t>
      </w:r>
    </w:p>
    <w:p w14:paraId="3D3C657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1.8.1 偏差包括重大偏差和细微偏差。</w:t>
      </w:r>
    </w:p>
    <w:p w14:paraId="510E9539">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1.8.2 响应文件存在第三章“评审办法”中所列任一否决响应文件情形的，均属于存在重大偏差，响应文件将被否决。</w:t>
      </w:r>
    </w:p>
    <w:bookmarkEnd w:id="22"/>
    <w:bookmarkEnd w:id="23"/>
    <w:bookmarkEnd w:id="24"/>
    <w:p w14:paraId="377F8E9D">
      <w:pPr>
        <w:spacing w:line="560" w:lineRule="exact"/>
        <w:ind w:firstLine="640" w:firstLineChars="200"/>
        <w:outlineLvl w:val="1"/>
        <w:rPr>
          <w:rFonts w:ascii="Times New Roman" w:hAnsi="Times New Roman" w:eastAsia="黑体"/>
          <w:bCs/>
          <w:color w:val="auto"/>
          <w:sz w:val="32"/>
          <w:szCs w:val="32"/>
        </w:rPr>
      </w:pPr>
      <w:bookmarkStart w:id="35" w:name="_Toc26656953"/>
      <w:bookmarkStart w:id="36" w:name="_Toc14201222"/>
      <w:r>
        <w:rPr>
          <w:rFonts w:ascii="Times New Roman" w:hAnsi="Times New Roman" w:eastAsia="黑体"/>
          <w:bCs/>
          <w:color w:val="auto"/>
          <w:sz w:val="32"/>
          <w:szCs w:val="32"/>
        </w:rPr>
        <w:t>2. 询比文件</w:t>
      </w:r>
    </w:p>
    <w:p w14:paraId="338EEDE2">
      <w:pPr>
        <w:spacing w:line="560" w:lineRule="exact"/>
        <w:ind w:firstLine="640" w:firstLineChars="200"/>
        <w:outlineLvl w:val="2"/>
        <w:rPr>
          <w:rFonts w:ascii="Times New Roman" w:hAnsi="Times New Roman" w:eastAsia="仿宋_GB2312"/>
          <w:bCs/>
          <w:color w:val="auto"/>
          <w:sz w:val="32"/>
          <w:szCs w:val="32"/>
        </w:rPr>
      </w:pPr>
      <w:bookmarkStart w:id="37" w:name="_Toc26656952"/>
      <w:bookmarkStart w:id="38" w:name="_Toc14201221"/>
      <w:r>
        <w:rPr>
          <w:rFonts w:ascii="Times New Roman" w:hAnsi="Times New Roman" w:eastAsia="仿宋_GB2312"/>
          <w:bCs/>
          <w:color w:val="auto"/>
          <w:sz w:val="32"/>
          <w:szCs w:val="32"/>
        </w:rPr>
        <w:t>2.1 询比文件的组成</w:t>
      </w:r>
      <w:bookmarkEnd w:id="37"/>
      <w:bookmarkEnd w:id="38"/>
    </w:p>
    <w:p w14:paraId="0D48D092">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本询比文件包括：</w:t>
      </w:r>
    </w:p>
    <w:p w14:paraId="3D761FD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（1）采购公告；</w:t>
      </w:r>
    </w:p>
    <w:p w14:paraId="77B175A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（2）供应商须知；</w:t>
      </w:r>
    </w:p>
    <w:p w14:paraId="6DFB074A">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（3）评审办法；</w:t>
      </w:r>
    </w:p>
    <w:p w14:paraId="5253A5AE">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（4）合同内容；</w:t>
      </w:r>
    </w:p>
    <w:p w14:paraId="6E07F18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（5）采购需求及清单；</w:t>
      </w:r>
    </w:p>
    <w:p w14:paraId="41C9C8C5">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（6）响应文件格式。</w:t>
      </w:r>
    </w:p>
    <w:p w14:paraId="752809C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根据本章第2.2款对询比文件所作的澄清、修改，构成询比文件的组成部分。</w:t>
      </w:r>
    </w:p>
    <w:p w14:paraId="1C0CEE51">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当询比文件、询比文件的澄清或修改等在同一内容的表述上不一致时，以最后发出的书面文件为准。</w:t>
      </w:r>
    </w:p>
    <w:bookmarkEnd w:id="35"/>
    <w:bookmarkEnd w:id="36"/>
    <w:p w14:paraId="371F622F">
      <w:pPr>
        <w:spacing w:line="560" w:lineRule="exact"/>
        <w:ind w:firstLine="640" w:firstLineChars="200"/>
        <w:outlineLvl w:val="2"/>
        <w:rPr>
          <w:rFonts w:ascii="Times New Roman" w:hAnsi="Times New Roman" w:eastAsia="仿宋_GB2312"/>
          <w:bCs/>
          <w:color w:val="auto"/>
          <w:sz w:val="32"/>
          <w:szCs w:val="32"/>
        </w:rPr>
      </w:pPr>
      <w:r>
        <w:rPr>
          <w:rFonts w:ascii="Times New Roman" w:hAnsi="Times New Roman" w:eastAsia="仿宋_GB2312"/>
          <w:bCs/>
          <w:color w:val="auto"/>
          <w:sz w:val="32"/>
          <w:szCs w:val="32"/>
        </w:rPr>
        <w:t>2.2 询比文件的澄清与修改</w:t>
      </w:r>
    </w:p>
    <w:p w14:paraId="4A0666D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2.2.1供应商如有疑问，应在递交响应文件的截止时间前3日前联系采购人对询比文件予以澄清或修改。</w:t>
      </w:r>
    </w:p>
    <w:p w14:paraId="72A4F231">
      <w:pPr>
        <w:spacing w:line="560" w:lineRule="exact"/>
        <w:ind w:firstLine="640" w:firstLineChars="200"/>
        <w:rPr>
          <w:rFonts w:ascii="Times New Roman" w:hAnsi="Times New Roman"/>
          <w:color w:val="auto"/>
        </w:rPr>
      </w:pPr>
      <w:r>
        <w:rPr>
          <w:rFonts w:ascii="Times New Roman" w:hAnsi="Times New Roman" w:eastAsia="仿宋_GB2312"/>
          <w:color w:val="auto"/>
          <w:sz w:val="32"/>
          <w:szCs w:val="32"/>
        </w:rPr>
        <w:t>2.2.2 除非采购人认为确有必要答复，否则，采购人有权拒绝回复供应商在本章第2.2.1项规定的时间后提出的任何澄清或修改要求。</w:t>
      </w:r>
    </w:p>
    <w:p w14:paraId="3CEC2DB3">
      <w:pPr>
        <w:spacing w:line="560" w:lineRule="exact"/>
        <w:ind w:firstLine="640" w:firstLineChars="200"/>
        <w:outlineLvl w:val="1"/>
        <w:rPr>
          <w:rFonts w:ascii="Times New Roman" w:hAnsi="Times New Roman" w:eastAsia="黑体"/>
          <w:bCs/>
          <w:color w:val="auto"/>
          <w:sz w:val="32"/>
          <w:szCs w:val="32"/>
        </w:rPr>
      </w:pPr>
      <w:bookmarkStart w:id="39" w:name="_Toc9067722"/>
      <w:bookmarkStart w:id="40" w:name="_Toc14201225"/>
      <w:bookmarkStart w:id="41" w:name="_Toc26656956"/>
      <w:r>
        <w:rPr>
          <w:rFonts w:ascii="Times New Roman" w:hAnsi="Times New Roman" w:eastAsia="黑体"/>
          <w:bCs/>
          <w:color w:val="auto"/>
          <w:sz w:val="32"/>
          <w:szCs w:val="32"/>
        </w:rPr>
        <w:t xml:space="preserve">3. </w:t>
      </w:r>
      <w:bookmarkEnd w:id="39"/>
      <w:bookmarkEnd w:id="40"/>
      <w:bookmarkEnd w:id="41"/>
      <w:r>
        <w:rPr>
          <w:rFonts w:ascii="Times New Roman" w:hAnsi="Times New Roman" w:eastAsia="黑体"/>
          <w:bCs/>
          <w:color w:val="auto"/>
          <w:sz w:val="32"/>
          <w:szCs w:val="32"/>
        </w:rPr>
        <w:t>响应文件</w:t>
      </w:r>
    </w:p>
    <w:p w14:paraId="4BA1F515">
      <w:pPr>
        <w:spacing w:line="560" w:lineRule="exact"/>
        <w:ind w:firstLine="640" w:firstLineChars="200"/>
        <w:outlineLvl w:val="2"/>
        <w:rPr>
          <w:rFonts w:ascii="Times New Roman" w:hAnsi="Times New Roman" w:eastAsia="仿宋_GB2312"/>
          <w:bCs/>
          <w:color w:val="auto"/>
          <w:sz w:val="32"/>
          <w:szCs w:val="32"/>
        </w:rPr>
      </w:pPr>
      <w:bookmarkStart w:id="42" w:name="_Toc26656957"/>
      <w:bookmarkStart w:id="43" w:name="_Toc14201226"/>
      <w:r>
        <w:rPr>
          <w:rFonts w:ascii="Times New Roman" w:hAnsi="Times New Roman" w:eastAsia="仿宋_GB2312"/>
          <w:bCs/>
          <w:color w:val="auto"/>
          <w:sz w:val="32"/>
          <w:szCs w:val="32"/>
        </w:rPr>
        <w:t>3.1响应文件的组成</w:t>
      </w:r>
      <w:bookmarkEnd w:id="42"/>
      <w:bookmarkEnd w:id="43"/>
    </w:p>
    <w:p w14:paraId="1F44044B">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响应文件应包括下列内容：</w:t>
      </w:r>
    </w:p>
    <w:p w14:paraId="0F6566A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（1）报价函；</w:t>
      </w:r>
    </w:p>
    <w:p w14:paraId="40209B8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（2）法定代表人身份证明及授权委托书；</w:t>
      </w:r>
    </w:p>
    <w:p w14:paraId="3DFAF849">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（3）已标价的报价清单；</w:t>
      </w:r>
    </w:p>
    <w:p w14:paraId="6013E07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（4）供应商基本情况；</w:t>
      </w:r>
    </w:p>
    <w:p w14:paraId="7597D853">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（5）信誉情况；</w:t>
      </w:r>
    </w:p>
    <w:p w14:paraId="5D52DBD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（6）全屋柜类定制设计方案；</w:t>
      </w:r>
    </w:p>
    <w:p w14:paraId="4EC8B254">
      <w:pPr>
        <w:spacing w:line="560" w:lineRule="exact"/>
        <w:ind w:firstLine="640" w:firstLineChars="200"/>
        <w:outlineLvl w:val="2"/>
        <w:rPr>
          <w:rFonts w:ascii="Times New Roman" w:hAnsi="Times New Roman" w:eastAsia="仿宋_GB2312"/>
          <w:bCs/>
          <w:color w:val="auto"/>
          <w:sz w:val="32"/>
          <w:szCs w:val="32"/>
        </w:rPr>
      </w:pPr>
      <w:bookmarkStart w:id="44" w:name="_Toc26656958"/>
      <w:bookmarkStart w:id="45" w:name="_Toc14201227"/>
      <w:r>
        <w:rPr>
          <w:rFonts w:ascii="Times New Roman" w:hAnsi="Times New Roman" w:eastAsia="仿宋_GB2312"/>
          <w:bCs/>
          <w:color w:val="auto"/>
          <w:sz w:val="32"/>
          <w:szCs w:val="32"/>
        </w:rPr>
        <w:t>3.2 报价</w:t>
      </w:r>
      <w:bookmarkEnd w:id="44"/>
      <w:bookmarkEnd w:id="45"/>
      <w:r>
        <w:rPr>
          <w:rFonts w:ascii="Times New Roman" w:hAnsi="Times New Roman" w:eastAsia="仿宋_GB2312"/>
          <w:bCs/>
          <w:color w:val="auto"/>
          <w:sz w:val="32"/>
          <w:szCs w:val="32"/>
        </w:rPr>
        <w:t xml:space="preserve">要求 </w:t>
      </w:r>
    </w:p>
    <w:p w14:paraId="046E1796">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3.2.1 报价应包括国家规定的增值税税金，供应商应提供增值税（专用）发票。</w:t>
      </w:r>
    </w:p>
    <w:p w14:paraId="0E8B8B85">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3.2.2 供应商应按第六章“响应文件格式”的要求在报价函中进行报价并填写报价清单相应表格。</w:t>
      </w:r>
    </w:p>
    <w:p w14:paraId="1A741F5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3.2.3 采购人设有最高限价的，供应商的报价不得超过最高限价，否则其报价将被否决，最高限价见第一章“采购公告”第2.5款。</w:t>
      </w:r>
    </w:p>
    <w:p w14:paraId="73E43FD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3.2.4本项目的报价方式为</w:t>
      </w:r>
      <w:r>
        <w:rPr>
          <w:rFonts w:hint="eastAsia" w:ascii="Times New Roman" w:hAnsi="Times New Roman" w:eastAsia="仿宋_GB2312"/>
          <w:color w:val="auto"/>
          <w:sz w:val="32"/>
          <w:szCs w:val="32"/>
          <w:u w:val="single"/>
        </w:rPr>
        <w:t>单</w:t>
      </w:r>
      <w:r>
        <w:rPr>
          <w:rFonts w:ascii="Times New Roman" w:hAnsi="Times New Roman" w:eastAsia="仿宋_GB2312"/>
          <w:color w:val="auto"/>
          <w:sz w:val="32"/>
          <w:szCs w:val="32"/>
          <w:u w:val="single"/>
        </w:rPr>
        <w:t>价</w:t>
      </w:r>
      <w:r>
        <w:rPr>
          <w:rFonts w:ascii="Times New Roman" w:hAnsi="Times New Roman" w:eastAsia="仿宋_GB2312"/>
          <w:color w:val="auto"/>
          <w:sz w:val="32"/>
          <w:szCs w:val="32"/>
        </w:rPr>
        <w:t>。</w:t>
      </w:r>
    </w:p>
    <w:p w14:paraId="16734F5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3.2.5 报价的其他要求：见供应商须知前附表。</w:t>
      </w:r>
    </w:p>
    <w:p w14:paraId="60B783DC">
      <w:pPr>
        <w:spacing w:line="560" w:lineRule="exact"/>
        <w:ind w:firstLine="640" w:firstLineChars="200"/>
        <w:rPr>
          <w:rFonts w:ascii="Times New Roman" w:hAnsi="Times New Roman" w:eastAsia="仿宋_GB2312"/>
          <w:color w:val="auto"/>
          <w:sz w:val="32"/>
          <w:szCs w:val="32"/>
        </w:rPr>
      </w:pPr>
      <w:bookmarkStart w:id="46" w:name="_Toc14201228"/>
      <w:bookmarkStart w:id="47" w:name="_Toc26656959"/>
      <w:r>
        <w:rPr>
          <w:rFonts w:ascii="Times New Roman" w:hAnsi="Times New Roman" w:eastAsia="仿宋_GB2312"/>
          <w:color w:val="auto"/>
          <w:sz w:val="32"/>
          <w:szCs w:val="32"/>
        </w:rPr>
        <w:t>3.3</w:t>
      </w:r>
      <w:bookmarkEnd w:id="46"/>
      <w:bookmarkEnd w:id="47"/>
      <w:r>
        <w:rPr>
          <w:rFonts w:ascii="Times New Roman" w:hAnsi="Times New Roman" w:eastAsia="仿宋_GB2312"/>
          <w:color w:val="auto"/>
          <w:sz w:val="32"/>
          <w:szCs w:val="32"/>
        </w:rPr>
        <w:t>响应有效期</w:t>
      </w:r>
    </w:p>
    <w:p w14:paraId="7B4A8528">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3.3.1 响应有效期为自供应商递交响应文件截止之日起计算90日。</w:t>
      </w:r>
    </w:p>
    <w:p w14:paraId="74E3417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3.3.2 在响应有效期内，供应商撤销响应文件的，应承担询比文件和法律规定的责任。</w:t>
      </w:r>
    </w:p>
    <w:p w14:paraId="4D54899D">
      <w:pPr>
        <w:spacing w:line="560" w:lineRule="exact"/>
        <w:ind w:firstLine="640" w:firstLineChars="200"/>
        <w:outlineLvl w:val="2"/>
        <w:rPr>
          <w:rFonts w:ascii="Times New Roman" w:hAnsi="Times New Roman" w:eastAsia="仿宋_GB2312"/>
          <w:bCs/>
          <w:color w:val="auto"/>
          <w:sz w:val="32"/>
          <w:szCs w:val="32"/>
        </w:rPr>
      </w:pPr>
      <w:bookmarkStart w:id="48" w:name="_Toc26656961"/>
      <w:bookmarkStart w:id="49" w:name="_Toc14201230"/>
      <w:r>
        <w:rPr>
          <w:rFonts w:ascii="Times New Roman" w:hAnsi="Times New Roman" w:eastAsia="仿宋_GB2312"/>
          <w:bCs/>
          <w:color w:val="auto"/>
          <w:sz w:val="32"/>
          <w:szCs w:val="32"/>
        </w:rPr>
        <w:t>3.4资格审查资料</w:t>
      </w:r>
      <w:bookmarkEnd w:id="48"/>
      <w:bookmarkEnd w:id="49"/>
    </w:p>
    <w:p w14:paraId="3F303C3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供应商应按第六章“响应文件格式”的规定提供资格审查资料，以证明其满足本章第1.2款规定的资质、信誉等要求。</w:t>
      </w:r>
    </w:p>
    <w:p w14:paraId="38826D82">
      <w:pPr>
        <w:spacing w:line="560" w:lineRule="exact"/>
        <w:ind w:firstLine="640" w:firstLineChars="200"/>
        <w:outlineLvl w:val="2"/>
        <w:rPr>
          <w:rFonts w:ascii="Times New Roman" w:hAnsi="Times New Roman" w:eastAsia="仿宋_GB2312"/>
          <w:bCs/>
          <w:color w:val="auto"/>
          <w:sz w:val="32"/>
          <w:szCs w:val="32"/>
        </w:rPr>
      </w:pPr>
      <w:bookmarkStart w:id="50" w:name="_Toc26656963"/>
      <w:bookmarkStart w:id="51" w:name="_Toc14201232"/>
      <w:r>
        <w:rPr>
          <w:rFonts w:ascii="Times New Roman" w:hAnsi="Times New Roman" w:eastAsia="仿宋_GB2312"/>
          <w:bCs/>
          <w:color w:val="auto"/>
          <w:sz w:val="32"/>
          <w:szCs w:val="32"/>
        </w:rPr>
        <w:t>3.5响应文件的编制</w:t>
      </w:r>
      <w:bookmarkEnd w:id="50"/>
      <w:bookmarkEnd w:id="51"/>
    </w:p>
    <w:p w14:paraId="7EAFED2A">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3.5.1 响应文件应按第六章“响应文件格式”进行编写，如有必要，可以增加附页，作为响应文件的组成部分。</w:t>
      </w:r>
    </w:p>
    <w:p w14:paraId="3E2A5566">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3.5.2 响应文件应当对询比文件有关供货期、响应有效期、质量要求、安全目标、技术标准和要求、采购范围等实质性内容作出响应。</w:t>
      </w:r>
    </w:p>
    <w:p w14:paraId="791B0EAE">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3.5.3响应文件的制作应满足以下规定：</w:t>
      </w:r>
    </w:p>
    <w:p w14:paraId="1E0F273E">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响应文件应用不褪色的材料书写或打印，并按第六章“响应文件格式”的要求进行签名和（或）盖章。响应文件应尽量避免涂改、行间插字或删除。如果出现上述情况，改动之处应由供应商的单位法人或其授权的代理人签名或盖单位章。</w:t>
      </w:r>
    </w:p>
    <w:p w14:paraId="46613D1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（2）响应文件 2 份（其中正本 1 份，副本 1 份），正本和副本的封面右上角上应清楚地标记“正本”或“副本”的字样。当副本和正本不一致时，以正本文件为准。同时提供响应文件盖章扫描件电子版（U盘）一份。</w:t>
      </w:r>
    </w:p>
    <w:p w14:paraId="1B71140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（3）响应文件的正本与副本应分别装订。</w:t>
      </w:r>
    </w:p>
    <w:p w14:paraId="5C199892">
      <w:pPr>
        <w:spacing w:line="560" w:lineRule="exact"/>
        <w:ind w:firstLine="640" w:firstLineChars="200"/>
        <w:outlineLvl w:val="1"/>
        <w:rPr>
          <w:rFonts w:ascii="Times New Roman" w:hAnsi="Times New Roman" w:eastAsia="黑体"/>
          <w:bCs/>
          <w:color w:val="auto"/>
          <w:sz w:val="32"/>
          <w:szCs w:val="32"/>
        </w:rPr>
      </w:pPr>
      <w:bookmarkStart w:id="52" w:name="_Toc14201233"/>
      <w:bookmarkStart w:id="53" w:name="_Toc9067723"/>
      <w:bookmarkStart w:id="54" w:name="_Toc26656964"/>
      <w:r>
        <w:rPr>
          <w:rFonts w:ascii="Times New Roman" w:hAnsi="Times New Roman" w:eastAsia="黑体"/>
          <w:bCs/>
          <w:color w:val="auto"/>
          <w:sz w:val="32"/>
          <w:szCs w:val="32"/>
        </w:rPr>
        <w:t xml:space="preserve">4. </w:t>
      </w:r>
      <w:bookmarkEnd w:id="52"/>
      <w:bookmarkEnd w:id="53"/>
      <w:bookmarkEnd w:id="54"/>
      <w:r>
        <w:rPr>
          <w:rFonts w:ascii="Times New Roman" w:hAnsi="Times New Roman" w:eastAsia="黑体"/>
          <w:bCs/>
          <w:color w:val="auto"/>
          <w:sz w:val="32"/>
          <w:szCs w:val="32"/>
        </w:rPr>
        <w:t>响应文件的递交</w:t>
      </w:r>
    </w:p>
    <w:p w14:paraId="5CFEFEF1">
      <w:pPr>
        <w:spacing w:line="560" w:lineRule="exact"/>
        <w:ind w:firstLine="640" w:firstLineChars="200"/>
        <w:outlineLvl w:val="2"/>
        <w:rPr>
          <w:rFonts w:ascii="Times New Roman" w:hAnsi="Times New Roman" w:eastAsia="仿宋_GB2312"/>
          <w:bCs/>
          <w:color w:val="auto"/>
          <w:sz w:val="32"/>
          <w:szCs w:val="32"/>
        </w:rPr>
      </w:pPr>
      <w:bookmarkStart w:id="55" w:name="_Toc26656965"/>
      <w:bookmarkStart w:id="56" w:name="_Toc14201234"/>
      <w:r>
        <w:rPr>
          <w:rFonts w:ascii="Times New Roman" w:hAnsi="Times New Roman" w:eastAsia="仿宋_GB2312"/>
          <w:bCs/>
          <w:color w:val="auto"/>
          <w:sz w:val="32"/>
          <w:szCs w:val="32"/>
        </w:rPr>
        <w:t>4.1响应文件的密封和标记</w:t>
      </w:r>
      <w:bookmarkEnd w:id="55"/>
      <w:bookmarkEnd w:id="56"/>
    </w:p>
    <w:p w14:paraId="3D873E9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4.1.1响应文件正、副本应密封包装在一个封套内，封套上注明：</w:t>
      </w:r>
    </w:p>
    <w:p w14:paraId="0878F4EF">
      <w:pPr>
        <w:spacing w:line="560" w:lineRule="exact"/>
        <w:ind w:firstLine="640" w:firstLineChars="200"/>
        <w:rPr>
          <w:rFonts w:ascii="Times New Roman" w:hAnsi="Times New Roman" w:eastAsia="仿宋_GB2312"/>
          <w:bCs/>
          <w:snapToGrid w:val="0"/>
          <w:color w:val="auto"/>
          <w:kern w:val="0"/>
          <w:sz w:val="32"/>
          <w:szCs w:val="32"/>
        </w:rPr>
      </w:pPr>
      <w:r>
        <w:rPr>
          <w:rFonts w:ascii="Times New Roman" w:hAnsi="Times New Roman" w:eastAsia="仿宋_GB2312"/>
          <w:bCs/>
          <w:snapToGrid w:val="0"/>
          <w:color w:val="auto"/>
          <w:kern w:val="0"/>
          <w:sz w:val="32"/>
          <w:szCs w:val="32"/>
        </w:rPr>
        <w:t>供应商名称：</w:t>
      </w:r>
      <w:r>
        <w:rPr>
          <w:rFonts w:ascii="Times New Roman" w:hAnsi="Times New Roman" w:eastAsia="仿宋_GB2312"/>
          <w:bCs/>
          <w:snapToGrid w:val="0"/>
          <w:color w:val="auto"/>
          <w:kern w:val="0"/>
          <w:sz w:val="32"/>
          <w:szCs w:val="32"/>
          <w:u w:val="single"/>
        </w:rPr>
        <w:t xml:space="preserve">            </w:t>
      </w:r>
    </w:p>
    <w:p w14:paraId="235932A4">
      <w:pPr>
        <w:spacing w:line="560" w:lineRule="exact"/>
        <w:rPr>
          <w:rFonts w:ascii="Times New Roman" w:hAnsi="Times New Roman" w:eastAsia="仿宋_GB2312"/>
          <w:bCs/>
          <w:snapToGrid w:val="0"/>
          <w:color w:val="auto"/>
          <w:kern w:val="0"/>
          <w:sz w:val="32"/>
          <w:szCs w:val="32"/>
        </w:rPr>
      </w:pPr>
      <w:r>
        <w:rPr>
          <w:rFonts w:hint="eastAsia" w:ascii="Times New Roman" w:hAnsi="Times New Roman" w:eastAsia="仿宋_GB2312"/>
          <w:b/>
          <w:snapToGrid w:val="0"/>
          <w:color w:val="auto"/>
          <w:kern w:val="0"/>
          <w:sz w:val="32"/>
          <w:szCs w:val="32"/>
          <w:u w:val="single"/>
        </w:rPr>
        <w:t>深圳安联尚璟府项目阶段性软装家装类框架采购（2025年度）</w:t>
      </w:r>
      <w:r>
        <w:rPr>
          <w:rFonts w:ascii="Times New Roman" w:hAnsi="Times New Roman" w:eastAsia="仿宋_GB2312"/>
          <w:bCs/>
          <w:snapToGrid w:val="0"/>
          <w:color w:val="auto"/>
          <w:kern w:val="0"/>
          <w:sz w:val="32"/>
          <w:szCs w:val="32"/>
        </w:rPr>
        <w:t>合同包响应文件</w:t>
      </w:r>
    </w:p>
    <w:p w14:paraId="2FF891C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bCs/>
          <w:snapToGrid w:val="0"/>
          <w:color w:val="auto"/>
          <w:kern w:val="0"/>
          <w:sz w:val="32"/>
          <w:szCs w:val="32"/>
        </w:rPr>
        <w:t>在</w:t>
      </w:r>
      <w:r>
        <w:rPr>
          <w:rFonts w:ascii="Times New Roman" w:hAnsi="Times New Roman" w:eastAsia="仿宋_GB2312"/>
          <w:b/>
          <w:bCs/>
          <w:color w:val="auto"/>
          <w:sz w:val="32"/>
          <w:szCs w:val="32"/>
          <w:u w:val="single"/>
        </w:rPr>
        <w:t>202</w:t>
      </w:r>
      <w:r>
        <w:rPr>
          <w:rFonts w:hint="eastAsia" w:ascii="Times New Roman" w:hAnsi="Times New Roman" w:eastAsia="仿宋_GB2312"/>
          <w:b/>
          <w:bCs/>
          <w:color w:val="auto"/>
          <w:sz w:val="32"/>
          <w:szCs w:val="32"/>
          <w:u w:val="single"/>
        </w:rPr>
        <w:t>5</w:t>
      </w:r>
      <w:r>
        <w:rPr>
          <w:rFonts w:ascii="Times New Roman" w:hAnsi="Times New Roman" w:eastAsia="仿宋_GB2312"/>
          <w:b/>
          <w:bCs/>
          <w:color w:val="auto"/>
          <w:sz w:val="32"/>
          <w:szCs w:val="32"/>
        </w:rPr>
        <w:t>年</w:t>
      </w:r>
      <w:r>
        <w:rPr>
          <w:rFonts w:hint="eastAsia" w:ascii="Times New Roman" w:hAnsi="Times New Roman" w:eastAsia="仿宋_GB2312"/>
          <w:b/>
          <w:bCs/>
          <w:color w:val="auto"/>
          <w:sz w:val="32"/>
          <w:szCs w:val="32"/>
          <w:u w:val="single"/>
        </w:rPr>
        <w:t>3</w:t>
      </w:r>
      <w:r>
        <w:rPr>
          <w:rFonts w:ascii="Times New Roman" w:hAnsi="Times New Roman" w:eastAsia="仿宋_GB2312"/>
          <w:b/>
          <w:bCs/>
          <w:color w:val="auto"/>
          <w:sz w:val="32"/>
          <w:szCs w:val="32"/>
        </w:rPr>
        <w:t>月</w:t>
      </w:r>
      <w:r>
        <w:rPr>
          <w:rFonts w:hint="eastAsia" w:ascii="Times New Roman" w:hAnsi="Times New Roman" w:eastAsia="仿宋_GB2312"/>
          <w:b/>
          <w:bCs/>
          <w:color w:val="auto"/>
          <w:sz w:val="32"/>
          <w:szCs w:val="32"/>
          <w:u w:val="single"/>
          <w:lang w:val="en-US" w:eastAsia="zh-CN"/>
        </w:rPr>
        <w:t>31</w:t>
      </w:r>
      <w:r>
        <w:rPr>
          <w:rFonts w:ascii="Times New Roman" w:hAnsi="Times New Roman" w:eastAsia="仿宋_GB2312"/>
          <w:b/>
          <w:bCs/>
          <w:color w:val="auto"/>
          <w:sz w:val="32"/>
          <w:szCs w:val="32"/>
        </w:rPr>
        <w:t>日</w:t>
      </w:r>
      <w:r>
        <w:rPr>
          <w:rFonts w:ascii="Times New Roman" w:hAnsi="Times New Roman" w:eastAsia="仿宋_GB2312"/>
          <w:b/>
          <w:bCs/>
          <w:color w:val="auto"/>
          <w:sz w:val="32"/>
          <w:szCs w:val="32"/>
          <w:u w:val="single"/>
        </w:rPr>
        <w:t>1</w:t>
      </w:r>
      <w:r>
        <w:rPr>
          <w:rFonts w:hint="eastAsia" w:ascii="Times New Roman" w:hAnsi="Times New Roman" w:eastAsia="仿宋_GB2312"/>
          <w:b/>
          <w:bCs/>
          <w:color w:val="auto"/>
          <w:sz w:val="32"/>
          <w:szCs w:val="32"/>
          <w:u w:val="single"/>
        </w:rPr>
        <w:t>7</w:t>
      </w:r>
      <w:r>
        <w:rPr>
          <w:rFonts w:ascii="Times New Roman" w:hAnsi="Times New Roman" w:eastAsia="仿宋_GB2312"/>
          <w:b/>
          <w:bCs/>
          <w:color w:val="auto"/>
          <w:sz w:val="32"/>
          <w:szCs w:val="32"/>
        </w:rPr>
        <w:t>时</w:t>
      </w:r>
      <w:r>
        <w:rPr>
          <w:rFonts w:ascii="Times New Roman" w:hAnsi="Times New Roman" w:eastAsia="仿宋_GB2312"/>
          <w:b/>
          <w:bCs/>
          <w:color w:val="auto"/>
          <w:sz w:val="32"/>
          <w:szCs w:val="32"/>
          <w:u w:val="single"/>
        </w:rPr>
        <w:t>00</w:t>
      </w:r>
      <w:r>
        <w:rPr>
          <w:rFonts w:ascii="Times New Roman" w:hAnsi="Times New Roman" w:eastAsia="仿宋_GB2312"/>
          <w:b/>
          <w:bCs/>
          <w:color w:val="auto"/>
          <w:sz w:val="32"/>
          <w:szCs w:val="32"/>
        </w:rPr>
        <w:t>分</w:t>
      </w:r>
      <w:r>
        <w:rPr>
          <w:rFonts w:ascii="Times New Roman" w:hAnsi="Times New Roman" w:eastAsia="仿宋_GB2312"/>
          <w:bCs/>
          <w:snapToGrid w:val="0"/>
          <w:color w:val="auto"/>
          <w:kern w:val="0"/>
          <w:sz w:val="32"/>
          <w:szCs w:val="32"/>
        </w:rPr>
        <w:t>（递交响应文件的截止时间）前不得开启</w:t>
      </w:r>
    </w:p>
    <w:p w14:paraId="6DFE1F3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4.1.2未按本章第4.1.1项要求密封的响应文件，采购人将予以拒收。</w:t>
      </w:r>
    </w:p>
    <w:p w14:paraId="49016916">
      <w:pPr>
        <w:spacing w:line="560" w:lineRule="exact"/>
        <w:ind w:firstLine="640" w:firstLineChars="200"/>
        <w:outlineLvl w:val="2"/>
        <w:rPr>
          <w:rFonts w:ascii="Times New Roman" w:hAnsi="Times New Roman" w:eastAsia="仿宋_GB2312"/>
          <w:bCs/>
          <w:color w:val="auto"/>
          <w:sz w:val="32"/>
          <w:szCs w:val="32"/>
        </w:rPr>
      </w:pPr>
      <w:bookmarkStart w:id="57" w:name="_Toc26656966"/>
      <w:bookmarkStart w:id="58" w:name="_Toc14201235"/>
      <w:r>
        <w:rPr>
          <w:rFonts w:ascii="Times New Roman" w:hAnsi="Times New Roman" w:eastAsia="仿宋_GB2312"/>
          <w:bCs/>
          <w:color w:val="auto"/>
          <w:sz w:val="32"/>
          <w:szCs w:val="32"/>
        </w:rPr>
        <w:t>4.2 响应文件的递交</w:t>
      </w:r>
      <w:bookmarkEnd w:id="57"/>
      <w:bookmarkEnd w:id="58"/>
    </w:p>
    <w:p w14:paraId="562949A2">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4.2.1供应商应当按照第一章“采购公告”第5条的规定递交响应文件。</w:t>
      </w:r>
    </w:p>
    <w:p w14:paraId="08FAA120">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4.2.2 递交响应文件的供应商数量不足3家时，采购人将宣布本次采购失败，并退还已递交的响应文件。</w:t>
      </w:r>
    </w:p>
    <w:p w14:paraId="1203F0D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4.2.3 除第4.2.2项规定外，供应商所递交的响应文件不予退还。</w:t>
      </w:r>
    </w:p>
    <w:p w14:paraId="3C3C1684">
      <w:pPr>
        <w:spacing w:line="560" w:lineRule="exact"/>
        <w:ind w:firstLine="640" w:firstLineChars="200"/>
        <w:outlineLvl w:val="1"/>
        <w:rPr>
          <w:rFonts w:ascii="Times New Roman" w:hAnsi="Times New Roman" w:eastAsia="黑体"/>
          <w:bCs/>
          <w:color w:val="auto"/>
          <w:sz w:val="32"/>
          <w:szCs w:val="32"/>
        </w:rPr>
      </w:pPr>
      <w:bookmarkStart w:id="59" w:name="_Toc14201237"/>
      <w:bookmarkStart w:id="60" w:name="_Toc26656968"/>
      <w:bookmarkStart w:id="61" w:name="_Toc9067724"/>
      <w:r>
        <w:rPr>
          <w:rFonts w:ascii="Times New Roman" w:hAnsi="Times New Roman" w:eastAsia="黑体"/>
          <w:bCs/>
          <w:color w:val="auto"/>
          <w:sz w:val="32"/>
          <w:szCs w:val="32"/>
        </w:rPr>
        <w:t xml:space="preserve">5. </w:t>
      </w:r>
      <w:bookmarkEnd w:id="59"/>
      <w:bookmarkEnd w:id="60"/>
      <w:bookmarkEnd w:id="61"/>
      <w:r>
        <w:rPr>
          <w:rFonts w:ascii="Times New Roman" w:hAnsi="Times New Roman" w:eastAsia="黑体"/>
          <w:bCs/>
          <w:color w:val="auto"/>
          <w:sz w:val="32"/>
          <w:szCs w:val="32"/>
        </w:rPr>
        <w:t>启封</w:t>
      </w:r>
    </w:p>
    <w:p w14:paraId="6838A3B0">
      <w:pPr>
        <w:spacing w:line="560" w:lineRule="exact"/>
        <w:ind w:firstLine="640" w:firstLineChars="200"/>
        <w:outlineLvl w:val="2"/>
        <w:rPr>
          <w:rFonts w:ascii="Times New Roman" w:hAnsi="Times New Roman" w:eastAsia="仿宋_GB2312"/>
          <w:bCs/>
          <w:color w:val="auto"/>
          <w:sz w:val="32"/>
          <w:szCs w:val="32"/>
        </w:rPr>
      </w:pPr>
      <w:bookmarkStart w:id="62" w:name="_Toc26656969"/>
      <w:bookmarkStart w:id="63" w:name="_Toc14201238"/>
      <w:r>
        <w:rPr>
          <w:rFonts w:ascii="Times New Roman" w:hAnsi="Times New Roman" w:eastAsia="仿宋_GB2312"/>
          <w:bCs/>
          <w:color w:val="auto"/>
          <w:sz w:val="32"/>
          <w:szCs w:val="32"/>
        </w:rPr>
        <w:t>5.1 启封时间和地点</w:t>
      </w:r>
      <w:bookmarkEnd w:id="62"/>
      <w:bookmarkEnd w:id="63"/>
    </w:p>
    <w:p w14:paraId="5FEC79B1">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采购人在本章第4.2.1项规定的响应文件递交截止时间（启封时间），按照第一章“采购公告”第6条的规定进行启封。</w:t>
      </w:r>
    </w:p>
    <w:p w14:paraId="0E05649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供应商若未派单位法人或其委托代理人出席启封活动，视为该供应商默认启封结果。</w:t>
      </w:r>
    </w:p>
    <w:p w14:paraId="7FF03D1B">
      <w:pPr>
        <w:spacing w:line="560" w:lineRule="exact"/>
        <w:ind w:firstLine="640" w:firstLineChars="200"/>
        <w:outlineLvl w:val="2"/>
        <w:rPr>
          <w:rFonts w:ascii="Times New Roman" w:hAnsi="Times New Roman" w:eastAsia="仿宋_GB2312"/>
          <w:bCs/>
          <w:color w:val="auto"/>
          <w:sz w:val="32"/>
          <w:szCs w:val="32"/>
        </w:rPr>
      </w:pPr>
      <w:bookmarkStart w:id="64" w:name="_Toc14201239"/>
      <w:bookmarkStart w:id="65" w:name="_Toc26656970"/>
      <w:r>
        <w:rPr>
          <w:rFonts w:ascii="Times New Roman" w:hAnsi="Times New Roman" w:eastAsia="仿宋_GB2312"/>
          <w:bCs/>
          <w:color w:val="auto"/>
          <w:sz w:val="32"/>
          <w:szCs w:val="32"/>
        </w:rPr>
        <w:t>5.2启封程序</w:t>
      </w:r>
      <w:bookmarkEnd w:id="64"/>
      <w:bookmarkEnd w:id="65"/>
    </w:p>
    <w:p w14:paraId="3E652F9E">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5.2.1主持人按下列程序进行启封： </w:t>
      </w:r>
    </w:p>
    <w:p w14:paraId="4AE08F26">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（1）公布在响应文件递交截止时间前递交响应文件的供应商名称；</w:t>
      </w:r>
    </w:p>
    <w:p w14:paraId="23E07AF9">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（2）由供应商推选的代表检查响应文件的密封情况； </w:t>
      </w:r>
    </w:p>
    <w:p w14:paraId="75DA77F2">
      <w:pPr>
        <w:spacing w:line="560" w:lineRule="exact"/>
        <w:ind w:firstLine="640" w:firstLineChars="200"/>
        <w:rPr>
          <w:rFonts w:ascii="Times New Roman" w:hAnsi="Times New Roman" w:eastAsia="仿宋_GB2312"/>
          <w:bCs/>
          <w:color w:val="auto"/>
          <w:sz w:val="32"/>
          <w:szCs w:val="32"/>
        </w:rPr>
      </w:pPr>
      <w:r>
        <w:rPr>
          <w:rFonts w:ascii="Times New Roman" w:hAnsi="Times New Roman" w:eastAsia="仿宋_GB2312"/>
          <w:color w:val="auto"/>
          <w:sz w:val="32"/>
          <w:szCs w:val="32"/>
        </w:rPr>
        <w:t>（3）</w:t>
      </w:r>
      <w:r>
        <w:rPr>
          <w:rFonts w:ascii="Times New Roman" w:hAnsi="Times New Roman" w:eastAsia="仿宋_GB2312"/>
          <w:bCs/>
          <w:color w:val="auto"/>
          <w:sz w:val="32"/>
          <w:szCs w:val="32"/>
        </w:rPr>
        <w:t>对响应文件进行启封，公布供应商名称、合同包名称、报价、质量目标、供货期及其他内容；</w:t>
      </w:r>
    </w:p>
    <w:p w14:paraId="593888C8">
      <w:pPr>
        <w:spacing w:line="560" w:lineRule="exact"/>
        <w:ind w:firstLine="640" w:firstLineChars="200"/>
        <w:rPr>
          <w:rFonts w:ascii="Times New Roman" w:hAnsi="Times New Roman" w:eastAsia="仿宋_GB2312"/>
          <w:bCs/>
          <w:color w:val="auto"/>
          <w:sz w:val="32"/>
          <w:szCs w:val="32"/>
        </w:rPr>
      </w:pPr>
      <w:r>
        <w:rPr>
          <w:rFonts w:ascii="Times New Roman" w:hAnsi="Times New Roman" w:eastAsia="仿宋_GB2312"/>
          <w:bCs/>
          <w:color w:val="auto"/>
          <w:sz w:val="32"/>
          <w:szCs w:val="32"/>
        </w:rPr>
        <w:t>（4）</w:t>
      </w:r>
      <w:r>
        <w:rPr>
          <w:rFonts w:ascii="Times New Roman" w:hAnsi="Times New Roman" w:eastAsia="仿宋_GB2312"/>
          <w:color w:val="auto"/>
          <w:sz w:val="32"/>
          <w:szCs w:val="32"/>
        </w:rPr>
        <w:t>供应商代表、采购人代表、记录人等有关人员在启封记录上签名确认；</w:t>
      </w:r>
    </w:p>
    <w:p w14:paraId="68E442E3">
      <w:pPr>
        <w:spacing w:line="560" w:lineRule="exact"/>
        <w:ind w:firstLine="640" w:firstLineChars="200"/>
        <w:rPr>
          <w:rFonts w:ascii="Times New Roman" w:hAnsi="Times New Roman" w:eastAsia="仿宋_GB2312"/>
          <w:bCs/>
          <w:color w:val="auto"/>
          <w:sz w:val="32"/>
          <w:szCs w:val="32"/>
        </w:rPr>
      </w:pPr>
      <w:r>
        <w:rPr>
          <w:rFonts w:ascii="Times New Roman" w:hAnsi="Times New Roman" w:eastAsia="仿宋_GB2312"/>
          <w:bCs/>
          <w:color w:val="auto"/>
          <w:sz w:val="32"/>
          <w:szCs w:val="32"/>
        </w:rPr>
        <w:t>（5）启封</w:t>
      </w:r>
      <w:r>
        <w:rPr>
          <w:rFonts w:ascii="Times New Roman" w:hAnsi="Times New Roman" w:eastAsia="仿宋_GB2312"/>
          <w:color w:val="auto"/>
          <w:sz w:val="32"/>
          <w:szCs w:val="32"/>
        </w:rPr>
        <w:t>结束</w:t>
      </w:r>
      <w:r>
        <w:rPr>
          <w:rFonts w:ascii="Times New Roman" w:hAnsi="Times New Roman" w:eastAsia="仿宋_GB2312"/>
          <w:bCs/>
          <w:color w:val="auto"/>
          <w:sz w:val="32"/>
          <w:szCs w:val="32"/>
        </w:rPr>
        <w:t>。</w:t>
      </w:r>
    </w:p>
    <w:p w14:paraId="17E6DD5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bCs/>
          <w:color w:val="auto"/>
          <w:sz w:val="32"/>
          <w:szCs w:val="32"/>
        </w:rPr>
        <w:t>5.2.2</w:t>
      </w:r>
      <w:r>
        <w:rPr>
          <w:rFonts w:ascii="Times New Roman" w:hAnsi="Times New Roman" w:eastAsia="仿宋_GB2312"/>
          <w:color w:val="auto"/>
          <w:sz w:val="32"/>
          <w:szCs w:val="32"/>
        </w:rPr>
        <w:t>供应商在启封过程中有疑问的，应当在现场提出，采购人将当场作出答复。</w:t>
      </w:r>
    </w:p>
    <w:p w14:paraId="0EC59159">
      <w:pPr>
        <w:spacing w:line="560" w:lineRule="exact"/>
        <w:ind w:firstLine="640" w:firstLineChars="200"/>
        <w:outlineLvl w:val="1"/>
        <w:rPr>
          <w:rFonts w:ascii="Times New Roman" w:hAnsi="Times New Roman" w:eastAsia="黑体"/>
          <w:bCs/>
          <w:color w:val="auto"/>
          <w:sz w:val="32"/>
          <w:szCs w:val="32"/>
        </w:rPr>
      </w:pPr>
      <w:bookmarkStart w:id="66" w:name="_Toc14201241"/>
      <w:bookmarkStart w:id="67" w:name="_Toc9067725"/>
      <w:bookmarkStart w:id="68" w:name="_Toc26656972"/>
      <w:r>
        <w:rPr>
          <w:rFonts w:ascii="Times New Roman" w:hAnsi="Times New Roman" w:eastAsia="黑体"/>
          <w:bCs/>
          <w:color w:val="auto"/>
          <w:sz w:val="32"/>
          <w:szCs w:val="32"/>
        </w:rPr>
        <w:t>6. 评</w:t>
      </w:r>
      <w:bookmarkEnd w:id="66"/>
      <w:bookmarkEnd w:id="67"/>
      <w:bookmarkEnd w:id="68"/>
      <w:r>
        <w:rPr>
          <w:rFonts w:ascii="Times New Roman" w:hAnsi="Times New Roman" w:eastAsia="黑体"/>
          <w:bCs/>
          <w:color w:val="auto"/>
          <w:sz w:val="32"/>
          <w:szCs w:val="32"/>
        </w:rPr>
        <w:t>审</w:t>
      </w:r>
    </w:p>
    <w:p w14:paraId="4C65AECA">
      <w:pPr>
        <w:spacing w:line="560" w:lineRule="exact"/>
        <w:ind w:firstLine="640" w:firstLineChars="200"/>
        <w:outlineLvl w:val="2"/>
        <w:rPr>
          <w:rFonts w:ascii="Times New Roman" w:hAnsi="Times New Roman" w:eastAsia="仿宋_GB2312"/>
          <w:bCs/>
          <w:color w:val="auto"/>
          <w:sz w:val="32"/>
          <w:szCs w:val="32"/>
        </w:rPr>
      </w:pPr>
      <w:bookmarkStart w:id="69" w:name="_Toc14201242"/>
      <w:bookmarkStart w:id="70" w:name="_Toc26656973"/>
      <w:r>
        <w:rPr>
          <w:rFonts w:ascii="Times New Roman" w:hAnsi="Times New Roman" w:eastAsia="仿宋_GB2312"/>
          <w:bCs/>
          <w:color w:val="auto"/>
          <w:sz w:val="32"/>
          <w:szCs w:val="32"/>
        </w:rPr>
        <w:t>6.1</w:t>
      </w:r>
      <w:bookmarkEnd w:id="69"/>
      <w:bookmarkEnd w:id="70"/>
      <w:r>
        <w:rPr>
          <w:rFonts w:ascii="Times New Roman" w:hAnsi="Times New Roman" w:eastAsia="仿宋_GB2312"/>
          <w:bCs/>
          <w:color w:val="auto"/>
          <w:sz w:val="32"/>
          <w:szCs w:val="32"/>
        </w:rPr>
        <w:t>评审小组</w:t>
      </w:r>
    </w:p>
    <w:p w14:paraId="73EF62B5">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评审由采购人自行组建的评审小组负责。评审小组人数：3-7人（单数）。</w:t>
      </w:r>
    </w:p>
    <w:p w14:paraId="41AAA61A">
      <w:pPr>
        <w:spacing w:line="560" w:lineRule="exact"/>
        <w:ind w:firstLine="640" w:firstLineChars="200"/>
        <w:outlineLvl w:val="2"/>
        <w:rPr>
          <w:rFonts w:ascii="Times New Roman" w:hAnsi="Times New Roman" w:eastAsia="仿宋_GB2312"/>
          <w:bCs/>
          <w:color w:val="auto"/>
          <w:sz w:val="32"/>
          <w:szCs w:val="32"/>
        </w:rPr>
      </w:pPr>
      <w:bookmarkStart w:id="71" w:name="_Toc26656975"/>
      <w:bookmarkStart w:id="72" w:name="_Toc14201244"/>
      <w:r>
        <w:rPr>
          <w:rFonts w:ascii="Times New Roman" w:hAnsi="Times New Roman" w:eastAsia="仿宋_GB2312"/>
          <w:bCs/>
          <w:color w:val="auto"/>
          <w:sz w:val="32"/>
          <w:szCs w:val="32"/>
        </w:rPr>
        <w:t>6.2评</w:t>
      </w:r>
      <w:bookmarkEnd w:id="71"/>
      <w:bookmarkEnd w:id="72"/>
      <w:r>
        <w:rPr>
          <w:rFonts w:ascii="Times New Roman" w:hAnsi="Times New Roman" w:eastAsia="仿宋_GB2312"/>
          <w:bCs/>
          <w:color w:val="auto"/>
          <w:sz w:val="32"/>
          <w:szCs w:val="32"/>
        </w:rPr>
        <w:t>审</w:t>
      </w:r>
    </w:p>
    <w:p w14:paraId="4AB30019">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6.2.1评审小组按照第三章“评审办法”规定的方法、评审因素、标准和程序对响应文件进行评审。</w:t>
      </w:r>
    </w:p>
    <w:p w14:paraId="501791F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6.2.2若递交响应文件的供应商数量达到3家及以上，但仅有2家供应商通过初步评审，经评审小组评判此2家供应商仍具有竞争性，即可以继续进行评审。</w:t>
      </w:r>
    </w:p>
    <w:p w14:paraId="3347136F">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6.2.3 若采购人发现响应文件出现以下任一情况，其报价将不再参加评审基准价的计算： </w:t>
      </w:r>
    </w:p>
    <w:p w14:paraId="48C1625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（1）报价超出采购人公布的最高限价；</w:t>
      </w:r>
    </w:p>
    <w:p w14:paraId="3DE6755A">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（2）未在报价函上填写总报价； </w:t>
      </w:r>
    </w:p>
    <w:p w14:paraId="4D30DE0D">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（3）报价函中的报价与已标价的报价清单总报价不一致（四舍五入除外）；</w:t>
      </w:r>
    </w:p>
    <w:p w14:paraId="66C38930">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（4）见供应商须知前附表（其他情形）。</w:t>
      </w:r>
    </w:p>
    <w:p w14:paraId="7672E8ED">
      <w:pPr>
        <w:spacing w:line="560" w:lineRule="exact"/>
        <w:ind w:firstLine="640" w:firstLineChars="200"/>
        <w:rPr>
          <w:rFonts w:ascii="Times New Roman" w:hAnsi="Times New Roman"/>
          <w:color w:val="auto"/>
        </w:rPr>
      </w:pPr>
      <w:r>
        <w:rPr>
          <w:rFonts w:ascii="Times New Roman" w:hAnsi="Times New Roman" w:eastAsia="仿宋_GB2312"/>
          <w:color w:val="auto"/>
          <w:sz w:val="32"/>
          <w:szCs w:val="32"/>
        </w:rPr>
        <w:t>6.2.4评审完成后，评审小组应向采购人提交书面评审报告和成交候选人名单。评审小组推荐成交候选人的人数为：3人（如不足3人，可以按实际数量推荐）。</w:t>
      </w:r>
    </w:p>
    <w:p w14:paraId="315EBAEB">
      <w:pPr>
        <w:spacing w:line="560" w:lineRule="exact"/>
        <w:ind w:firstLine="640" w:firstLineChars="200"/>
        <w:outlineLvl w:val="1"/>
        <w:rPr>
          <w:rFonts w:ascii="Times New Roman" w:hAnsi="Times New Roman" w:eastAsia="黑体"/>
          <w:bCs/>
          <w:color w:val="auto"/>
          <w:sz w:val="32"/>
          <w:szCs w:val="32"/>
        </w:rPr>
      </w:pPr>
      <w:bookmarkStart w:id="73" w:name="_Toc26656976"/>
      <w:bookmarkStart w:id="74" w:name="_Toc14201245"/>
      <w:bookmarkStart w:id="75" w:name="_Toc9067726"/>
      <w:r>
        <w:rPr>
          <w:rFonts w:ascii="Times New Roman" w:hAnsi="Times New Roman" w:eastAsia="黑体"/>
          <w:bCs/>
          <w:color w:val="auto"/>
          <w:sz w:val="32"/>
          <w:szCs w:val="32"/>
        </w:rPr>
        <w:t>7. 合同授予</w:t>
      </w:r>
      <w:bookmarkEnd w:id="73"/>
      <w:bookmarkEnd w:id="74"/>
      <w:bookmarkEnd w:id="75"/>
    </w:p>
    <w:p w14:paraId="1A3595BA">
      <w:pPr>
        <w:spacing w:line="560" w:lineRule="exact"/>
        <w:ind w:firstLine="640" w:firstLineChars="200"/>
        <w:rPr>
          <w:rFonts w:ascii="Times New Roman" w:hAnsi="Times New Roman" w:eastAsia="仿宋_GB2312"/>
          <w:color w:val="auto"/>
          <w:sz w:val="32"/>
          <w:szCs w:val="32"/>
        </w:rPr>
      </w:pPr>
      <w:bookmarkStart w:id="76" w:name="_Toc26656977"/>
      <w:bookmarkStart w:id="77" w:name="_Toc14201246"/>
      <w:r>
        <w:rPr>
          <w:rFonts w:ascii="Times New Roman" w:hAnsi="Times New Roman" w:eastAsia="仿宋_GB2312"/>
          <w:color w:val="auto"/>
          <w:sz w:val="32"/>
          <w:szCs w:val="32"/>
        </w:rPr>
        <w:t>7.1成交候选人公示</w:t>
      </w:r>
      <w:bookmarkEnd w:id="76"/>
      <w:bookmarkEnd w:id="77"/>
    </w:p>
    <w:p w14:paraId="14BDB792">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采用公开询比方式采购的项目，成交候选人将于     安徽安联高速公路有限公司官方网站（http://www.ahanlian.com/）公示，公示期不得少于2日。</w:t>
      </w:r>
    </w:p>
    <w:p w14:paraId="4D381BF4">
      <w:pPr>
        <w:spacing w:line="560" w:lineRule="exact"/>
        <w:ind w:firstLine="640" w:firstLineChars="200"/>
        <w:rPr>
          <w:rFonts w:ascii="Times New Roman" w:hAnsi="Times New Roman" w:eastAsia="仿宋_GB2312"/>
          <w:color w:val="auto"/>
          <w:sz w:val="32"/>
          <w:szCs w:val="32"/>
        </w:rPr>
      </w:pPr>
      <w:bookmarkStart w:id="78" w:name="_Toc26656978"/>
      <w:bookmarkStart w:id="79" w:name="_Toc14201247"/>
      <w:r>
        <w:rPr>
          <w:rFonts w:ascii="Times New Roman" w:hAnsi="Times New Roman" w:eastAsia="仿宋_GB2312"/>
          <w:color w:val="auto"/>
          <w:sz w:val="32"/>
          <w:szCs w:val="32"/>
        </w:rPr>
        <w:t>7.2评审结果异议</w:t>
      </w:r>
      <w:bookmarkEnd w:id="78"/>
      <w:bookmarkEnd w:id="79"/>
    </w:p>
    <w:p w14:paraId="7C95372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供应商或其他利害关系人对评审结果有异议的，应在成交候选人公示期间提出。</w:t>
      </w:r>
    </w:p>
    <w:p w14:paraId="0371D95E">
      <w:pPr>
        <w:spacing w:line="560" w:lineRule="exact"/>
        <w:ind w:firstLine="640" w:firstLineChars="200"/>
        <w:rPr>
          <w:rFonts w:ascii="Times New Roman" w:hAnsi="Times New Roman" w:eastAsia="仿宋_GB2312"/>
          <w:color w:val="auto"/>
          <w:sz w:val="32"/>
          <w:szCs w:val="32"/>
        </w:rPr>
      </w:pPr>
      <w:bookmarkStart w:id="80" w:name="_Toc26656979"/>
      <w:bookmarkStart w:id="81" w:name="_Toc14201248"/>
      <w:r>
        <w:rPr>
          <w:rFonts w:ascii="Times New Roman" w:hAnsi="Times New Roman" w:eastAsia="仿宋_GB2312"/>
          <w:color w:val="auto"/>
          <w:sz w:val="32"/>
          <w:szCs w:val="32"/>
        </w:rPr>
        <w:t>7.3成交候选人履约能力审查</w:t>
      </w:r>
      <w:bookmarkEnd w:id="80"/>
      <w:bookmarkEnd w:id="81"/>
    </w:p>
    <w:p w14:paraId="41ACAAEA">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成交候选人的经营、财务状况发生较大变化或存在违法行为，采购人认为可能影响其履约能力的，将在发出成交通知书前提请原评审小组按照询比文件规定的标准和方法进行审查确认。</w:t>
      </w:r>
    </w:p>
    <w:p w14:paraId="18259C97">
      <w:pPr>
        <w:spacing w:line="560" w:lineRule="exact"/>
        <w:ind w:firstLine="640" w:firstLineChars="200"/>
        <w:rPr>
          <w:rFonts w:ascii="Times New Roman" w:hAnsi="Times New Roman" w:eastAsia="仿宋_GB2312"/>
          <w:color w:val="auto"/>
          <w:sz w:val="32"/>
          <w:szCs w:val="32"/>
        </w:rPr>
      </w:pPr>
      <w:bookmarkStart w:id="82" w:name="_Toc26656981"/>
      <w:bookmarkStart w:id="83" w:name="_Toc14201250"/>
      <w:r>
        <w:rPr>
          <w:rFonts w:ascii="Times New Roman" w:hAnsi="Times New Roman" w:eastAsia="仿宋_GB2312"/>
          <w:color w:val="auto"/>
          <w:sz w:val="32"/>
          <w:szCs w:val="32"/>
        </w:rPr>
        <w:t>7.</w:t>
      </w:r>
      <w:bookmarkEnd w:id="82"/>
      <w:bookmarkEnd w:id="83"/>
      <w:bookmarkStart w:id="84" w:name="_Toc14201252"/>
      <w:bookmarkStart w:id="85" w:name="_Toc26656983"/>
      <w:r>
        <w:rPr>
          <w:rFonts w:ascii="Times New Roman" w:hAnsi="Times New Roman" w:eastAsia="仿宋_GB2312"/>
          <w:color w:val="auto"/>
          <w:sz w:val="32"/>
          <w:szCs w:val="32"/>
        </w:rPr>
        <w:t>4</w:t>
      </w:r>
      <w:bookmarkEnd w:id="84"/>
      <w:bookmarkEnd w:id="85"/>
      <w:bookmarkStart w:id="86" w:name="_Toc14201253"/>
      <w:bookmarkStart w:id="87" w:name="_Toc26656984"/>
      <w:r>
        <w:rPr>
          <w:rFonts w:ascii="Times New Roman" w:hAnsi="Times New Roman" w:eastAsia="仿宋_GB2312"/>
          <w:color w:val="auto"/>
          <w:sz w:val="32"/>
          <w:szCs w:val="32"/>
        </w:rPr>
        <w:t>签订合同</w:t>
      </w:r>
      <w:bookmarkEnd w:id="86"/>
      <w:bookmarkEnd w:id="87"/>
    </w:p>
    <w:p w14:paraId="75F50E91">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采购人和成交人应在响应有效期内以及成交通知书发出之日起30日内，根据询比文件和成交人的响应文件订立书面合同。成交人无正当理由拒签合同，在签订合同时向采购人提出附加条件，或不按照询比文件要求提交履约保证金的，采购人取消其成交资格，其响应保证金不予退还；给采购人造成的损失超过响应保证金数额的，成交人还应对超过部分予以赔偿。</w:t>
      </w:r>
    </w:p>
    <w:p w14:paraId="553CB5FA">
      <w:pPr>
        <w:spacing w:line="560" w:lineRule="exact"/>
        <w:ind w:firstLine="640" w:firstLineChars="200"/>
        <w:outlineLvl w:val="1"/>
        <w:rPr>
          <w:rFonts w:ascii="Times New Roman" w:hAnsi="Times New Roman" w:eastAsia="黑体"/>
          <w:bCs/>
          <w:color w:val="auto"/>
          <w:sz w:val="32"/>
          <w:szCs w:val="32"/>
        </w:rPr>
      </w:pPr>
      <w:bookmarkStart w:id="88" w:name="_Toc14201257"/>
      <w:bookmarkStart w:id="89" w:name="_Toc26656988"/>
      <w:bookmarkStart w:id="90" w:name="_Toc9067727"/>
      <w:r>
        <w:rPr>
          <w:rFonts w:ascii="Times New Roman" w:hAnsi="Times New Roman" w:eastAsia="黑体"/>
          <w:bCs/>
          <w:color w:val="auto"/>
          <w:sz w:val="32"/>
          <w:szCs w:val="32"/>
        </w:rPr>
        <w:t>8. 纪律和监督</w:t>
      </w:r>
      <w:bookmarkEnd w:id="88"/>
      <w:bookmarkEnd w:id="89"/>
      <w:bookmarkEnd w:id="90"/>
    </w:p>
    <w:p w14:paraId="151E27D7">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供应商不得相互串通报价或与采购人串通报价，不得向采购人或评审小组成员行贿谋取成交，不得以他人名义报价或以其他方式弄虚作假骗取成交；供应商不得以任何方式干扰、影响评审工作。</w:t>
      </w:r>
    </w:p>
    <w:p w14:paraId="40EB2BC9">
      <w:pPr>
        <w:spacing w:line="560" w:lineRule="exact"/>
        <w:ind w:firstLine="640" w:firstLineChars="200"/>
        <w:outlineLvl w:val="1"/>
        <w:rPr>
          <w:rFonts w:ascii="Times New Roman" w:hAnsi="Times New Roman" w:eastAsia="黑体"/>
          <w:bCs/>
          <w:color w:val="auto"/>
          <w:sz w:val="32"/>
          <w:szCs w:val="32"/>
        </w:rPr>
      </w:pPr>
      <w:bookmarkStart w:id="91" w:name="_Toc26656993"/>
      <w:bookmarkStart w:id="92" w:name="_Toc14201262"/>
      <w:r>
        <w:rPr>
          <w:rFonts w:ascii="Times New Roman" w:hAnsi="Times New Roman" w:eastAsia="黑体"/>
          <w:bCs/>
          <w:color w:val="auto"/>
          <w:sz w:val="32"/>
          <w:szCs w:val="32"/>
        </w:rPr>
        <w:t>9 投诉</w:t>
      </w:r>
      <w:bookmarkEnd w:id="91"/>
      <w:bookmarkEnd w:id="92"/>
    </w:p>
    <w:p w14:paraId="18FB9F34">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9.1 供应商或其他利害关系人认为询比活动不符合法律法规规定的，可以自知道或应当知道之日起10日内向有关监督部门投诉。投诉应有明确的请求和必要的证明材料。</w:t>
      </w:r>
    </w:p>
    <w:p w14:paraId="081757EC">
      <w:pPr>
        <w:spacing w:line="56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9.2 监督部门及联系方式：</w:t>
      </w:r>
      <w:r>
        <w:rPr>
          <w:rFonts w:ascii="Times New Roman" w:hAnsi="Times New Roman" w:eastAsia="仿宋_GB2312"/>
          <w:color w:val="auto"/>
          <w:sz w:val="32"/>
          <w:szCs w:val="32"/>
          <w:u w:val="single"/>
        </w:rPr>
        <w:t>深圳市安之联置业有限公司 综合部/ 0755-29168809</w:t>
      </w:r>
      <w:r>
        <w:rPr>
          <w:rFonts w:ascii="Times New Roman" w:hAnsi="Times New Roman" w:eastAsia="仿宋_GB2312"/>
          <w:color w:val="auto"/>
          <w:sz w:val="32"/>
          <w:szCs w:val="32"/>
        </w:rPr>
        <w:t>。</w:t>
      </w:r>
    </w:p>
    <w:p w14:paraId="0294BDE6">
      <w:pPr>
        <w:spacing w:line="560" w:lineRule="exact"/>
        <w:ind w:firstLine="640" w:firstLineChars="200"/>
        <w:outlineLvl w:val="1"/>
        <w:rPr>
          <w:rFonts w:ascii="Times New Roman" w:hAnsi="Times New Roman" w:eastAsia="黑体"/>
          <w:bCs/>
          <w:color w:val="auto"/>
          <w:sz w:val="32"/>
          <w:szCs w:val="32"/>
        </w:rPr>
      </w:pPr>
      <w:bookmarkStart w:id="93" w:name="_Toc9067731"/>
      <w:bookmarkStart w:id="94" w:name="_Toc26656994"/>
      <w:bookmarkStart w:id="95" w:name="_Toc14201263"/>
      <w:r>
        <w:rPr>
          <w:rFonts w:ascii="Times New Roman" w:hAnsi="Times New Roman" w:eastAsia="黑体"/>
          <w:bCs/>
          <w:color w:val="auto"/>
          <w:sz w:val="32"/>
          <w:szCs w:val="32"/>
        </w:rPr>
        <w:t>10. 需要补充的其他内容</w:t>
      </w:r>
      <w:bookmarkEnd w:id="93"/>
      <w:bookmarkEnd w:id="94"/>
      <w:bookmarkEnd w:id="95"/>
    </w:p>
    <w:p w14:paraId="1F45C6C5">
      <w:pPr>
        <w:spacing w:line="560" w:lineRule="exact"/>
        <w:ind w:firstLine="640" w:firstLineChars="200"/>
        <w:jc w:val="left"/>
        <w:rPr>
          <w:rFonts w:ascii="Times New Roman" w:hAnsi="Times New Roman" w:eastAsia="仿宋"/>
          <w:color w:val="auto"/>
        </w:rPr>
      </w:pPr>
      <w:r>
        <w:rPr>
          <w:rFonts w:ascii="Times New Roman" w:hAnsi="Times New Roman" w:eastAsia="仿宋_GB2312"/>
          <w:color w:val="auto"/>
          <w:sz w:val="32"/>
          <w:szCs w:val="32"/>
        </w:rPr>
        <w:t>需要补充的其他内容：</w:t>
      </w:r>
      <w:r>
        <w:rPr>
          <w:rFonts w:ascii="Times New Roman" w:hAnsi="Times New Roman" w:eastAsia="仿宋_GB2312"/>
          <w:color w:val="auto"/>
          <w:sz w:val="32"/>
          <w:szCs w:val="32"/>
          <w:u w:val="single"/>
        </w:rPr>
        <w:t xml:space="preserve">  /  </w:t>
      </w:r>
      <w:r>
        <w:rPr>
          <w:rFonts w:ascii="Times New Roman" w:hAnsi="Times New Roman" w:eastAsia="仿宋_GB2312"/>
          <w:color w:val="auto"/>
          <w:sz w:val="32"/>
          <w:szCs w:val="32"/>
        </w:rPr>
        <w:t>。</w:t>
      </w:r>
    </w:p>
    <w:p w14:paraId="52E73F78">
      <w:pPr>
        <w:widowControl/>
        <w:ind w:firstLine="420" w:firstLineChars="200"/>
        <w:jc w:val="left"/>
        <w:rPr>
          <w:rFonts w:ascii="Times New Roman" w:hAnsi="Times New Roman" w:eastAsia="仿宋"/>
          <w:color w:val="auto"/>
        </w:rPr>
      </w:pPr>
    </w:p>
    <w:p w14:paraId="0C7ACF84">
      <w:pPr>
        <w:rPr>
          <w:rFonts w:ascii="Times New Roman" w:hAnsi="Times New Roman" w:eastAsia="仿宋"/>
          <w:color w:val="auto"/>
        </w:rPr>
      </w:pPr>
    </w:p>
    <w:p w14:paraId="5E77A42A">
      <w:pPr>
        <w:spacing w:after="120"/>
        <w:rPr>
          <w:rFonts w:ascii="Times New Roman" w:hAnsi="Times New Roman" w:eastAsia="仿宋"/>
          <w:color w:val="auto"/>
        </w:rPr>
      </w:pPr>
    </w:p>
    <w:p w14:paraId="2EE1B55A">
      <w:pPr>
        <w:spacing w:after="120"/>
        <w:rPr>
          <w:rFonts w:ascii="Times New Roman" w:hAnsi="Times New Roman" w:eastAsia="仿宋"/>
          <w:color w:val="auto"/>
        </w:rPr>
      </w:pPr>
    </w:p>
    <w:p w14:paraId="23F70C39">
      <w:pPr>
        <w:spacing w:after="120"/>
        <w:rPr>
          <w:rFonts w:ascii="Times New Roman" w:hAnsi="Times New Roman" w:eastAsia="仿宋"/>
          <w:color w:val="auto"/>
        </w:rPr>
      </w:pPr>
    </w:p>
    <w:p w14:paraId="579CA7F8">
      <w:pPr>
        <w:spacing w:after="120"/>
        <w:rPr>
          <w:rFonts w:ascii="Times New Roman" w:hAnsi="Times New Roman" w:eastAsia="仿宋"/>
          <w:color w:val="auto"/>
        </w:rPr>
      </w:pPr>
    </w:p>
    <w:p w14:paraId="2FE4B6F4">
      <w:pPr>
        <w:spacing w:after="120"/>
        <w:rPr>
          <w:rFonts w:ascii="Times New Roman" w:hAnsi="Times New Roman" w:eastAsia="仿宋"/>
          <w:color w:val="auto"/>
        </w:rPr>
      </w:pPr>
    </w:p>
    <w:p w14:paraId="744B6AA8">
      <w:pPr>
        <w:spacing w:after="120"/>
        <w:rPr>
          <w:rFonts w:ascii="Times New Roman" w:hAnsi="Times New Roman" w:eastAsia="仿宋"/>
          <w:color w:val="auto"/>
        </w:rPr>
      </w:pPr>
    </w:p>
    <w:p w14:paraId="0C479BD5">
      <w:pPr>
        <w:spacing w:after="120"/>
        <w:rPr>
          <w:rFonts w:ascii="Times New Roman" w:hAnsi="Times New Roman" w:eastAsia="仿宋"/>
          <w:color w:val="auto"/>
        </w:rPr>
      </w:pPr>
    </w:p>
    <w:p w14:paraId="3231E3F7">
      <w:pPr>
        <w:spacing w:after="120"/>
        <w:rPr>
          <w:rFonts w:ascii="Times New Roman" w:hAnsi="Times New Roman" w:eastAsia="仿宋"/>
          <w:color w:val="auto"/>
        </w:rPr>
      </w:pPr>
    </w:p>
    <w:p w14:paraId="3F034D4D">
      <w:pPr>
        <w:spacing w:after="120"/>
        <w:rPr>
          <w:rFonts w:ascii="Times New Roman" w:hAnsi="Times New Roman" w:eastAsia="仿宋"/>
          <w:color w:val="auto"/>
        </w:rPr>
      </w:pPr>
    </w:p>
    <w:p w14:paraId="7CB96341">
      <w:pPr>
        <w:spacing w:after="120"/>
        <w:rPr>
          <w:rFonts w:ascii="Times New Roman" w:hAnsi="Times New Roman" w:eastAsia="仿宋"/>
          <w:color w:val="auto"/>
        </w:rPr>
      </w:pPr>
    </w:p>
    <w:p w14:paraId="6F219E1C">
      <w:pPr>
        <w:rPr>
          <w:rFonts w:ascii="Times New Roman" w:hAnsi="Times New Roman" w:eastAsia="仿宋"/>
          <w:color w:val="auto"/>
        </w:rPr>
      </w:pPr>
    </w:p>
    <w:p w14:paraId="77BB8EC8">
      <w:pPr>
        <w:rPr>
          <w:rFonts w:ascii="Times New Roman" w:hAnsi="Times New Roman" w:eastAsia="仿宋"/>
          <w:color w:val="auto"/>
          <w:szCs w:val="20"/>
        </w:rPr>
      </w:pPr>
    </w:p>
    <w:p w14:paraId="71617D2C">
      <w:pPr>
        <w:rPr>
          <w:rFonts w:ascii="Times New Roman" w:hAnsi="Times New Roman" w:eastAsia="仿宋"/>
          <w:color w:val="auto"/>
          <w:szCs w:val="20"/>
        </w:rPr>
      </w:pPr>
    </w:p>
    <w:p w14:paraId="440BFE31">
      <w:pPr>
        <w:rPr>
          <w:rFonts w:ascii="Times New Roman" w:hAnsi="Times New Roman" w:eastAsia="仿宋"/>
          <w:color w:val="auto"/>
          <w:szCs w:val="20"/>
        </w:rPr>
      </w:pPr>
    </w:p>
    <w:p w14:paraId="1B23655C">
      <w:pPr>
        <w:rPr>
          <w:rFonts w:ascii="Times New Roman" w:hAnsi="Times New Roman" w:eastAsia="仿宋"/>
          <w:color w:val="auto"/>
          <w:szCs w:val="20"/>
        </w:rPr>
      </w:pPr>
    </w:p>
    <w:p w14:paraId="37F43FCE">
      <w:pPr>
        <w:rPr>
          <w:rFonts w:ascii="Times New Roman" w:hAnsi="Times New Roman" w:eastAsia="仿宋"/>
          <w:color w:val="auto"/>
          <w:szCs w:val="20"/>
        </w:rPr>
      </w:pPr>
    </w:p>
    <w:p w14:paraId="3040A352">
      <w:pPr>
        <w:rPr>
          <w:rFonts w:ascii="Times New Roman" w:hAnsi="Times New Roman" w:eastAsia="仿宋"/>
          <w:color w:val="auto"/>
          <w:szCs w:val="20"/>
        </w:rPr>
      </w:pPr>
    </w:p>
    <w:p w14:paraId="3AC64054">
      <w:pPr>
        <w:rPr>
          <w:rFonts w:ascii="Times New Roman" w:hAnsi="Times New Roman" w:eastAsia="仿宋"/>
          <w:color w:val="auto"/>
          <w:szCs w:val="20"/>
        </w:rPr>
      </w:pPr>
    </w:p>
    <w:p w14:paraId="629EB18D">
      <w:pPr>
        <w:rPr>
          <w:rFonts w:ascii="Times New Roman" w:hAnsi="Times New Roman" w:eastAsia="仿宋"/>
          <w:color w:val="auto"/>
          <w:szCs w:val="20"/>
        </w:rPr>
      </w:pPr>
    </w:p>
    <w:p w14:paraId="7D0E62A8">
      <w:pPr>
        <w:pStyle w:val="3"/>
        <w:numPr>
          <w:ilvl w:val="0"/>
          <w:numId w:val="0"/>
        </w:numPr>
        <w:spacing w:beforeLines="0" w:afterLines="0" w:line="500" w:lineRule="atLeast"/>
        <w:jc w:val="both"/>
        <w:rPr>
          <w:rFonts w:ascii="Times New Roman" w:hAnsi="Times New Roman" w:eastAsia="方正小标宋简体"/>
          <w:b w:val="0"/>
          <w:bCs w:val="0"/>
          <w:color w:val="auto"/>
          <w:sz w:val="44"/>
        </w:rPr>
      </w:pPr>
      <w:bookmarkStart w:id="96" w:name="_Toc18182_WPSOffice_Level1"/>
    </w:p>
    <w:p w14:paraId="2BEBD193">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10D3C8B3">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27C73BC4">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214CA5A6">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147B83CF">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bookmarkStart w:id="97" w:name="_Toc30317"/>
      <w:r>
        <w:rPr>
          <w:rFonts w:ascii="Times New Roman" w:hAnsi="Times New Roman" w:eastAsia="方正小标宋_GBK"/>
          <w:b w:val="0"/>
          <w:bCs w:val="0"/>
          <w:color w:val="auto"/>
          <w:sz w:val="40"/>
          <w:szCs w:val="40"/>
        </w:rPr>
        <w:br w:type="page"/>
      </w:r>
    </w:p>
    <w:p w14:paraId="617C6002">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7B7C1553">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624B00DE">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726D3E41">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63FA3C3F">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11E627D0">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459211C1">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0FC005FD">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54B26B76">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5BD182AE">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r>
        <w:rPr>
          <w:rFonts w:ascii="Times New Roman" w:hAnsi="Times New Roman" w:eastAsia="方正小标宋_GBK"/>
          <w:b w:val="0"/>
          <w:bCs w:val="0"/>
          <w:color w:val="auto"/>
          <w:sz w:val="40"/>
          <w:szCs w:val="40"/>
        </w:rPr>
        <w:t>第三章 评审办法</w:t>
      </w:r>
      <w:bookmarkEnd w:id="96"/>
      <w:bookmarkEnd w:id="97"/>
    </w:p>
    <w:p w14:paraId="0F8F2DDF">
      <w:pPr>
        <w:pStyle w:val="3"/>
        <w:spacing w:beforeLines="0" w:afterLines="0" w:line="500" w:lineRule="atLeast"/>
        <w:rPr>
          <w:rFonts w:ascii="Times New Roman" w:hAnsi="Times New Roman" w:eastAsia="方正小标宋简体"/>
          <w:b w:val="0"/>
          <w:bCs w:val="0"/>
          <w:color w:val="auto"/>
          <w:sz w:val="44"/>
        </w:rPr>
        <w:sectPr>
          <w:footnotePr>
            <w:numFmt w:val="decimalEnclosedCircleChinese"/>
            <w:numRestart w:val="eachPage"/>
          </w:footnotePr>
          <w:pgSz w:w="11906" w:h="16838"/>
          <w:pgMar w:top="1040" w:right="1797" w:bottom="1440" w:left="1797" w:header="851" w:footer="992" w:gutter="0"/>
          <w:cols w:space="720" w:num="1"/>
          <w:docGrid w:type="linesAndChars" w:linePitch="312" w:charSpace="0"/>
        </w:sectPr>
      </w:pPr>
    </w:p>
    <w:p w14:paraId="02DF83A1">
      <w:pPr>
        <w:spacing w:after="312" w:afterLines="100" w:line="420" w:lineRule="exact"/>
        <w:jc w:val="center"/>
        <w:rPr>
          <w:rFonts w:ascii="Times New Roman" w:hAnsi="Times New Roman" w:eastAsia="黑体"/>
          <w:color w:val="auto"/>
          <w:sz w:val="28"/>
          <w:szCs w:val="28"/>
        </w:rPr>
      </w:pPr>
      <w:r>
        <w:rPr>
          <w:rFonts w:ascii="Times New Roman" w:hAnsi="Times New Roman" w:eastAsia="黑体"/>
          <w:color w:val="auto"/>
          <w:sz w:val="28"/>
          <w:szCs w:val="28"/>
        </w:rPr>
        <w:t>评审办法前附表</w:t>
      </w:r>
      <w:r>
        <w:rPr>
          <w:rFonts w:hint="eastAsia" w:ascii="Times New Roman" w:hAnsi="Times New Roman" w:eastAsia="黑体"/>
          <w:color w:val="auto"/>
          <w:sz w:val="28"/>
          <w:szCs w:val="28"/>
        </w:rPr>
        <w:t>（最低价法）</w:t>
      </w:r>
    </w:p>
    <w:tbl>
      <w:tblPr>
        <w:tblStyle w:val="20"/>
        <w:tblW w:w="9198"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500"/>
        <w:gridCol w:w="1500"/>
        <w:gridCol w:w="1700"/>
        <w:gridCol w:w="5498"/>
      </w:tblGrid>
      <w:tr w14:paraId="7D32E8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000" w:type="dxa"/>
            <w:gridSpan w:val="2"/>
            <w:vAlign w:val="center"/>
          </w:tcPr>
          <w:p w14:paraId="53C97321">
            <w:pPr>
              <w:widowControl/>
              <w:jc w:val="center"/>
              <w:rPr>
                <w:rFonts w:ascii="Times New Roman" w:hAnsi="Times New Roman"/>
                <w:color w:val="auto"/>
                <w:kern w:val="0"/>
                <w:szCs w:val="21"/>
              </w:rPr>
            </w:pPr>
            <w:r>
              <w:rPr>
                <w:rFonts w:ascii="Times New Roman" w:hAnsi="Times New Roman"/>
                <w:b/>
                <w:bCs/>
                <w:color w:val="auto"/>
                <w:kern w:val="0"/>
                <w:szCs w:val="21"/>
              </w:rPr>
              <w:t>条款号</w:t>
            </w:r>
          </w:p>
        </w:tc>
        <w:tc>
          <w:tcPr>
            <w:tcW w:w="1700" w:type="dxa"/>
            <w:vAlign w:val="center"/>
          </w:tcPr>
          <w:p w14:paraId="7252A94E">
            <w:pPr>
              <w:widowControl/>
              <w:ind w:firstLine="105" w:firstLineChars="50"/>
              <w:jc w:val="center"/>
              <w:rPr>
                <w:rFonts w:ascii="Times New Roman" w:hAnsi="Times New Roman"/>
                <w:color w:val="auto"/>
                <w:kern w:val="0"/>
                <w:szCs w:val="21"/>
              </w:rPr>
            </w:pPr>
            <w:r>
              <w:rPr>
                <w:rFonts w:ascii="Times New Roman" w:hAnsi="Times New Roman"/>
                <w:b/>
                <w:bCs/>
                <w:color w:val="auto"/>
                <w:kern w:val="0"/>
                <w:szCs w:val="21"/>
              </w:rPr>
              <w:t>评审因素</w:t>
            </w:r>
          </w:p>
        </w:tc>
        <w:tc>
          <w:tcPr>
            <w:tcW w:w="5498" w:type="dxa"/>
            <w:vAlign w:val="center"/>
          </w:tcPr>
          <w:p w14:paraId="683610E4">
            <w:pPr>
              <w:widowControl/>
              <w:ind w:firstLine="105" w:firstLineChars="50"/>
              <w:jc w:val="center"/>
              <w:rPr>
                <w:rFonts w:ascii="Times New Roman" w:hAnsi="Times New Roman"/>
                <w:color w:val="auto"/>
                <w:kern w:val="0"/>
                <w:szCs w:val="21"/>
              </w:rPr>
            </w:pPr>
            <w:r>
              <w:rPr>
                <w:rFonts w:ascii="Times New Roman" w:hAnsi="Times New Roman"/>
                <w:b/>
                <w:bCs/>
                <w:color w:val="auto"/>
                <w:kern w:val="0"/>
                <w:szCs w:val="21"/>
              </w:rPr>
              <w:t>评审标准</w:t>
            </w:r>
          </w:p>
        </w:tc>
      </w:tr>
      <w:tr w14:paraId="7224B7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Align w:val="center"/>
          </w:tcPr>
          <w:p w14:paraId="251D92E0">
            <w:pPr>
              <w:widowControl/>
              <w:jc w:val="center"/>
              <w:rPr>
                <w:rFonts w:ascii="Times New Roman" w:hAnsi="Times New Roman"/>
                <w:bCs/>
                <w:color w:val="auto"/>
                <w:kern w:val="0"/>
                <w:szCs w:val="21"/>
              </w:rPr>
            </w:pPr>
            <w:r>
              <w:rPr>
                <w:rFonts w:ascii="Times New Roman" w:hAnsi="Times New Roman"/>
                <w:bCs/>
                <w:color w:val="auto"/>
                <w:kern w:val="0"/>
                <w:szCs w:val="21"/>
              </w:rPr>
              <w:t>1</w:t>
            </w:r>
          </w:p>
        </w:tc>
        <w:tc>
          <w:tcPr>
            <w:tcW w:w="1500" w:type="dxa"/>
            <w:vAlign w:val="center"/>
          </w:tcPr>
          <w:p w14:paraId="7A98749D">
            <w:pPr>
              <w:widowControl/>
              <w:jc w:val="center"/>
              <w:rPr>
                <w:rFonts w:ascii="Times New Roman" w:hAnsi="Times New Roman"/>
                <w:bCs/>
                <w:color w:val="auto"/>
                <w:kern w:val="0"/>
                <w:szCs w:val="21"/>
              </w:rPr>
            </w:pPr>
            <w:r>
              <w:rPr>
                <w:rFonts w:ascii="Times New Roman" w:hAnsi="Times New Roman"/>
                <w:bCs/>
                <w:color w:val="auto"/>
                <w:kern w:val="0"/>
                <w:szCs w:val="21"/>
              </w:rPr>
              <w:t>评审</w:t>
            </w:r>
            <w:r>
              <w:rPr>
                <w:rFonts w:hint="eastAsia" w:ascii="Times New Roman" w:hAnsi="Times New Roman"/>
                <w:bCs/>
                <w:color w:val="auto"/>
                <w:kern w:val="0"/>
                <w:szCs w:val="21"/>
              </w:rPr>
              <w:t>方</w:t>
            </w:r>
            <w:r>
              <w:rPr>
                <w:rFonts w:ascii="Times New Roman" w:hAnsi="Times New Roman"/>
                <w:bCs/>
                <w:color w:val="auto"/>
                <w:kern w:val="0"/>
                <w:szCs w:val="21"/>
              </w:rPr>
              <w:t>法</w:t>
            </w:r>
          </w:p>
        </w:tc>
        <w:tc>
          <w:tcPr>
            <w:tcW w:w="1700" w:type="dxa"/>
            <w:tcMar>
              <w:left w:w="75" w:type="dxa"/>
            </w:tcMar>
            <w:vAlign w:val="center"/>
          </w:tcPr>
          <w:p w14:paraId="45BE91B0">
            <w:pPr>
              <w:widowControl/>
              <w:adjustRightInd w:val="0"/>
              <w:snapToGrid w:val="0"/>
              <w:jc w:val="center"/>
              <w:rPr>
                <w:rFonts w:ascii="Times New Roman" w:hAnsi="Times New Roman"/>
                <w:color w:val="auto"/>
                <w:kern w:val="0"/>
                <w:szCs w:val="21"/>
              </w:rPr>
            </w:pPr>
            <w:r>
              <w:rPr>
                <w:rFonts w:ascii="Times New Roman" w:hAnsi="Times New Roman"/>
                <w:color w:val="auto"/>
                <w:kern w:val="0"/>
                <w:szCs w:val="21"/>
              </w:rPr>
              <w:t>成交候选人</w:t>
            </w:r>
          </w:p>
          <w:p w14:paraId="3AE7E115">
            <w:pPr>
              <w:widowControl/>
              <w:adjustRightInd w:val="0"/>
              <w:snapToGrid w:val="0"/>
              <w:jc w:val="center"/>
              <w:rPr>
                <w:rFonts w:ascii="Times New Roman" w:hAnsi="Times New Roman"/>
                <w:color w:val="auto"/>
                <w:kern w:val="0"/>
                <w:szCs w:val="21"/>
              </w:rPr>
            </w:pPr>
            <w:r>
              <w:rPr>
                <w:rFonts w:ascii="Times New Roman" w:hAnsi="Times New Roman"/>
                <w:color w:val="auto"/>
                <w:kern w:val="0"/>
                <w:szCs w:val="21"/>
              </w:rPr>
              <w:t>排序方法</w:t>
            </w:r>
          </w:p>
        </w:tc>
        <w:tc>
          <w:tcPr>
            <w:tcW w:w="5498" w:type="dxa"/>
            <w:tcMar>
              <w:left w:w="75" w:type="dxa"/>
            </w:tcMar>
            <w:vAlign w:val="center"/>
          </w:tcPr>
          <w:p w14:paraId="6CB2BBCB">
            <w:pPr>
              <w:widowControl/>
              <w:adjustRightInd w:val="0"/>
              <w:snapToGrid w:val="0"/>
              <w:jc w:val="left"/>
              <w:rPr>
                <w:color w:val="auto"/>
              </w:rPr>
            </w:pPr>
            <w:r>
              <w:rPr>
                <w:rFonts w:hint="eastAsia"/>
                <w:color w:val="auto"/>
              </w:rPr>
              <w:t>按评审价由低到高的顺序依次推荐成交候选人：</w:t>
            </w:r>
          </w:p>
          <w:p w14:paraId="1FDB3A6F">
            <w:pPr>
              <w:widowControl/>
              <w:adjustRightInd w:val="0"/>
              <w:snapToGrid w:val="0"/>
              <w:jc w:val="left"/>
              <w:rPr>
                <w:color w:val="auto"/>
              </w:rPr>
            </w:pPr>
            <w:r>
              <w:rPr>
                <w:rFonts w:hint="eastAsia" w:ascii="Times New Roman" w:hAnsi="Times New Roman"/>
                <w:color w:val="auto"/>
                <w:kern w:val="0"/>
                <w:szCs w:val="21"/>
              </w:rPr>
              <w:t>□</w:t>
            </w:r>
            <w:r>
              <w:rPr>
                <w:rFonts w:hint="eastAsia"/>
                <w:color w:val="auto"/>
              </w:rPr>
              <w:t>评审价相等时，以递交响应文件在前的优先。</w:t>
            </w:r>
          </w:p>
          <w:p w14:paraId="385D6627">
            <w:pPr>
              <w:pStyle w:val="2"/>
              <w:adjustRightInd w:val="0"/>
              <w:snapToGrid w:val="0"/>
              <w:rPr>
                <w:color w:val="auto"/>
              </w:rPr>
            </w:pPr>
            <w:r>
              <w:rPr>
                <w:rFonts w:hint="eastAsia" w:ascii="Times New Roman" w:hAnsi="Times New Roman"/>
                <w:color w:val="auto"/>
                <w:kern w:val="0"/>
                <w:szCs w:val="21"/>
              </w:rPr>
              <w:sym w:font="Wingdings 2" w:char="0052"/>
            </w:r>
            <w:r>
              <w:rPr>
                <w:rFonts w:hint="eastAsia" w:ascii="Times New Roman" w:hAnsi="Times New Roman"/>
                <w:color w:val="auto"/>
                <w:kern w:val="0"/>
                <w:szCs w:val="21"/>
              </w:rPr>
              <w:t>其他方法: 评审价相等时，以递交响应文件所提供业绩证明数量较多优先。</w:t>
            </w:r>
          </w:p>
        </w:tc>
      </w:tr>
      <w:tr w14:paraId="73E243B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2000" w:type="dxa"/>
            <w:gridSpan w:val="2"/>
            <w:vAlign w:val="center"/>
          </w:tcPr>
          <w:p w14:paraId="05B34C3D">
            <w:pPr>
              <w:widowControl/>
              <w:spacing w:line="360" w:lineRule="atLeast"/>
              <w:jc w:val="center"/>
              <w:rPr>
                <w:rFonts w:ascii="Times New Roman" w:hAnsi="Times New Roman"/>
                <w:color w:val="auto"/>
                <w:kern w:val="0"/>
                <w:szCs w:val="21"/>
              </w:rPr>
            </w:pPr>
            <w:r>
              <w:rPr>
                <w:rFonts w:ascii="Times New Roman" w:hAnsi="Times New Roman"/>
                <w:b/>
                <w:bCs/>
                <w:color w:val="auto"/>
                <w:kern w:val="0"/>
                <w:szCs w:val="21"/>
              </w:rPr>
              <w:t>条款号</w:t>
            </w:r>
          </w:p>
        </w:tc>
        <w:tc>
          <w:tcPr>
            <w:tcW w:w="1700" w:type="dxa"/>
            <w:vAlign w:val="center"/>
          </w:tcPr>
          <w:p w14:paraId="4A808638">
            <w:pPr>
              <w:widowControl/>
              <w:spacing w:line="360" w:lineRule="atLeast"/>
              <w:jc w:val="center"/>
              <w:rPr>
                <w:rFonts w:ascii="Times New Roman" w:hAnsi="Times New Roman"/>
                <w:color w:val="auto"/>
                <w:kern w:val="0"/>
                <w:szCs w:val="21"/>
              </w:rPr>
            </w:pPr>
            <w:r>
              <w:rPr>
                <w:rFonts w:ascii="Times New Roman" w:hAnsi="Times New Roman"/>
                <w:b/>
                <w:bCs/>
                <w:color w:val="auto"/>
                <w:kern w:val="0"/>
                <w:szCs w:val="21"/>
              </w:rPr>
              <w:t>评审因素</w:t>
            </w:r>
          </w:p>
        </w:tc>
        <w:tc>
          <w:tcPr>
            <w:tcW w:w="5498" w:type="dxa"/>
            <w:vAlign w:val="center"/>
          </w:tcPr>
          <w:p w14:paraId="3FA9E5D0">
            <w:pPr>
              <w:widowControl/>
              <w:spacing w:line="360" w:lineRule="atLeast"/>
              <w:jc w:val="center"/>
              <w:rPr>
                <w:rFonts w:ascii="Times New Roman" w:hAnsi="Times New Roman"/>
                <w:color w:val="auto"/>
                <w:kern w:val="0"/>
                <w:szCs w:val="21"/>
              </w:rPr>
            </w:pPr>
            <w:r>
              <w:rPr>
                <w:rFonts w:ascii="Times New Roman" w:hAnsi="Times New Roman"/>
                <w:b/>
                <w:bCs/>
                <w:color w:val="auto"/>
                <w:kern w:val="0"/>
                <w:szCs w:val="21"/>
              </w:rPr>
              <w:t>评审标准</w:t>
            </w:r>
          </w:p>
        </w:tc>
      </w:tr>
      <w:tr w14:paraId="3DD87B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restart"/>
            <w:vAlign w:val="center"/>
          </w:tcPr>
          <w:p w14:paraId="4A4D8812">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2.1.1</w:t>
            </w:r>
          </w:p>
        </w:tc>
        <w:tc>
          <w:tcPr>
            <w:tcW w:w="1500" w:type="dxa"/>
            <w:vMerge w:val="restart"/>
            <w:vAlign w:val="center"/>
          </w:tcPr>
          <w:p w14:paraId="1B69EF49">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形式评审标准</w:t>
            </w:r>
          </w:p>
        </w:tc>
        <w:tc>
          <w:tcPr>
            <w:tcW w:w="1700" w:type="dxa"/>
            <w:tcMar>
              <w:left w:w="75" w:type="dxa"/>
            </w:tcMar>
            <w:vAlign w:val="center"/>
          </w:tcPr>
          <w:p w14:paraId="4A0D87B4">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供应商名称</w:t>
            </w:r>
          </w:p>
        </w:tc>
        <w:tc>
          <w:tcPr>
            <w:tcW w:w="5498" w:type="dxa"/>
            <w:tcMar>
              <w:left w:w="75" w:type="dxa"/>
            </w:tcMar>
            <w:vAlign w:val="center"/>
          </w:tcPr>
          <w:p w14:paraId="041BE979">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与营业执照一致</w:t>
            </w:r>
          </w:p>
        </w:tc>
      </w:tr>
      <w:tr w14:paraId="4DEB432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350EA3CC">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0DAEA92C">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009CAB38">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响应文件格式</w:t>
            </w:r>
          </w:p>
        </w:tc>
        <w:tc>
          <w:tcPr>
            <w:tcW w:w="5498" w:type="dxa"/>
            <w:tcMar>
              <w:left w:w="75" w:type="dxa"/>
            </w:tcMar>
            <w:vAlign w:val="center"/>
          </w:tcPr>
          <w:p w14:paraId="15613998">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符合第六章“响应文件格式”的规定，关键字迹清晰可辨</w:t>
            </w:r>
          </w:p>
        </w:tc>
      </w:tr>
      <w:tr w14:paraId="13C0C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557CFB36">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36BE3151">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3976BD14">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签名</w:t>
            </w:r>
            <w:r>
              <w:rPr>
                <w:rFonts w:ascii="Times New Roman" w:hAnsi="Times New Roman"/>
                <w:color w:val="auto"/>
                <w:kern w:val="0"/>
                <w:szCs w:val="21"/>
              </w:rPr>
              <w:t>盖章</w:t>
            </w:r>
          </w:p>
        </w:tc>
        <w:tc>
          <w:tcPr>
            <w:tcW w:w="5498" w:type="dxa"/>
            <w:tcMar>
              <w:left w:w="75" w:type="dxa"/>
            </w:tcMar>
            <w:vAlign w:val="center"/>
          </w:tcPr>
          <w:p w14:paraId="1B407B24">
            <w:pPr>
              <w:widowControl/>
              <w:adjustRightInd w:val="0"/>
              <w:snapToGrid w:val="0"/>
              <w:spacing w:line="360" w:lineRule="atLeast"/>
              <w:jc w:val="left"/>
              <w:rPr>
                <w:rFonts w:ascii="Times New Roman" w:hAnsi="Times New Roman"/>
                <w:color w:val="auto"/>
                <w:kern w:val="0"/>
                <w:szCs w:val="21"/>
              </w:rPr>
            </w:pPr>
            <w:r>
              <w:rPr>
                <w:rFonts w:ascii="Times New Roman" w:hAnsi="Times New Roman"/>
                <w:bCs/>
                <w:color w:val="auto"/>
                <w:kern w:val="0"/>
                <w:szCs w:val="21"/>
              </w:rPr>
              <w:t>符合第二章“供应商须知”第3.</w:t>
            </w:r>
            <w:r>
              <w:rPr>
                <w:rFonts w:hint="eastAsia" w:ascii="Times New Roman" w:hAnsi="Times New Roman"/>
                <w:bCs/>
                <w:color w:val="auto"/>
                <w:kern w:val="0"/>
                <w:szCs w:val="21"/>
              </w:rPr>
              <w:t>5</w:t>
            </w:r>
            <w:r>
              <w:rPr>
                <w:rFonts w:ascii="Times New Roman" w:hAnsi="Times New Roman"/>
                <w:bCs/>
                <w:color w:val="auto"/>
                <w:kern w:val="0"/>
                <w:szCs w:val="21"/>
              </w:rPr>
              <w:t>.3项的规定</w:t>
            </w:r>
          </w:p>
        </w:tc>
      </w:tr>
      <w:tr w14:paraId="2452DE8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Align w:val="center"/>
          </w:tcPr>
          <w:p w14:paraId="65192B3D">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2.1.2</w:t>
            </w:r>
          </w:p>
        </w:tc>
        <w:tc>
          <w:tcPr>
            <w:tcW w:w="1500" w:type="dxa"/>
            <w:vAlign w:val="center"/>
          </w:tcPr>
          <w:p w14:paraId="119CBB46">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资格评审标准</w:t>
            </w:r>
          </w:p>
        </w:tc>
        <w:tc>
          <w:tcPr>
            <w:tcW w:w="1700" w:type="dxa"/>
            <w:tcMar>
              <w:left w:w="75" w:type="dxa"/>
            </w:tcMar>
            <w:vAlign w:val="center"/>
          </w:tcPr>
          <w:p w14:paraId="44C9266D">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资质条件、能力、信誉</w:t>
            </w:r>
          </w:p>
        </w:tc>
        <w:tc>
          <w:tcPr>
            <w:tcW w:w="5498" w:type="dxa"/>
            <w:tcMar>
              <w:left w:w="75" w:type="dxa"/>
            </w:tcMar>
            <w:vAlign w:val="center"/>
          </w:tcPr>
          <w:p w14:paraId="73D3EDB3">
            <w:pPr>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符合第二章“供应商须知”第1.</w:t>
            </w:r>
            <w:r>
              <w:rPr>
                <w:rFonts w:hint="eastAsia" w:ascii="Times New Roman" w:hAnsi="Times New Roman"/>
                <w:color w:val="auto"/>
                <w:kern w:val="0"/>
                <w:szCs w:val="21"/>
              </w:rPr>
              <w:t>2</w:t>
            </w:r>
            <w:r>
              <w:rPr>
                <w:rFonts w:ascii="Times New Roman" w:hAnsi="Times New Roman"/>
                <w:color w:val="auto"/>
                <w:kern w:val="0"/>
                <w:szCs w:val="21"/>
              </w:rPr>
              <w:t>.1项规定</w:t>
            </w:r>
          </w:p>
        </w:tc>
      </w:tr>
      <w:tr w14:paraId="2D9C2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restart"/>
            <w:vAlign w:val="center"/>
          </w:tcPr>
          <w:p w14:paraId="1A2F5CC6">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2.1.3</w:t>
            </w:r>
          </w:p>
        </w:tc>
        <w:tc>
          <w:tcPr>
            <w:tcW w:w="1500" w:type="dxa"/>
            <w:vMerge w:val="restart"/>
            <w:vAlign w:val="center"/>
          </w:tcPr>
          <w:p w14:paraId="2606E435">
            <w:pPr>
              <w:widowControl/>
              <w:adjustRightInd w:val="0"/>
              <w:snapToGrid w:val="0"/>
              <w:spacing w:line="360" w:lineRule="atLeast"/>
              <w:jc w:val="center"/>
              <w:rPr>
                <w:rFonts w:ascii="Times New Roman" w:hAnsi="Times New Roman"/>
                <w:color w:val="auto"/>
                <w:kern w:val="0"/>
                <w:szCs w:val="21"/>
              </w:rPr>
            </w:pPr>
            <w:r>
              <w:rPr>
                <w:rFonts w:ascii="Times New Roman" w:hAnsi="Times New Roman"/>
                <w:color w:val="auto"/>
                <w:kern w:val="0"/>
                <w:szCs w:val="21"/>
              </w:rPr>
              <w:t>响应性评审标准</w:t>
            </w:r>
          </w:p>
        </w:tc>
        <w:tc>
          <w:tcPr>
            <w:tcW w:w="1700" w:type="dxa"/>
            <w:tcMar>
              <w:left w:w="75" w:type="dxa"/>
            </w:tcMar>
            <w:vAlign w:val="center"/>
          </w:tcPr>
          <w:p w14:paraId="716D9BA5">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报价内容</w:t>
            </w:r>
          </w:p>
        </w:tc>
        <w:tc>
          <w:tcPr>
            <w:tcW w:w="5498" w:type="dxa"/>
            <w:tcMar>
              <w:left w:w="75" w:type="dxa"/>
            </w:tcMar>
            <w:vAlign w:val="center"/>
          </w:tcPr>
          <w:p w14:paraId="14F8F358">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rPr>
              <w:t>符合</w:t>
            </w:r>
            <w:r>
              <w:rPr>
                <w:rFonts w:ascii="Times New Roman" w:hAnsi="Times New Roman"/>
                <w:color w:val="auto"/>
              </w:rPr>
              <w:t>第一章“</w:t>
            </w:r>
            <w:r>
              <w:rPr>
                <w:rFonts w:hint="eastAsia" w:ascii="Times New Roman" w:hAnsi="Times New Roman"/>
                <w:color w:val="auto"/>
                <w:szCs w:val="21"/>
              </w:rPr>
              <w:t>采购公告</w:t>
            </w:r>
            <w:r>
              <w:rPr>
                <w:rFonts w:ascii="Times New Roman" w:hAnsi="Times New Roman"/>
                <w:color w:val="auto"/>
              </w:rPr>
              <w:t>”规定</w:t>
            </w:r>
          </w:p>
        </w:tc>
      </w:tr>
      <w:tr w14:paraId="63358FE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5AADADBE">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53EF2651">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189DD888">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供货期</w:t>
            </w:r>
          </w:p>
        </w:tc>
        <w:tc>
          <w:tcPr>
            <w:tcW w:w="5498" w:type="dxa"/>
            <w:tcMar>
              <w:left w:w="75" w:type="dxa"/>
            </w:tcMar>
            <w:vAlign w:val="center"/>
          </w:tcPr>
          <w:p w14:paraId="7A888A7B">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rPr>
              <w:t>符合</w:t>
            </w:r>
            <w:r>
              <w:rPr>
                <w:rFonts w:ascii="Times New Roman" w:hAnsi="Times New Roman"/>
                <w:color w:val="auto"/>
              </w:rPr>
              <w:t>第一章“</w:t>
            </w:r>
            <w:r>
              <w:rPr>
                <w:rFonts w:hint="eastAsia" w:ascii="Times New Roman" w:hAnsi="Times New Roman"/>
                <w:color w:val="auto"/>
                <w:szCs w:val="21"/>
              </w:rPr>
              <w:t>采购公告</w:t>
            </w:r>
            <w:r>
              <w:rPr>
                <w:rFonts w:ascii="Times New Roman" w:hAnsi="Times New Roman"/>
                <w:color w:val="auto"/>
              </w:rPr>
              <w:t>”规定</w:t>
            </w:r>
          </w:p>
        </w:tc>
      </w:tr>
      <w:tr w14:paraId="09B41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18DEC7F8">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35AA4545">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6030292D">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质量要求</w:t>
            </w:r>
          </w:p>
        </w:tc>
        <w:tc>
          <w:tcPr>
            <w:tcW w:w="5498" w:type="dxa"/>
            <w:tcMar>
              <w:left w:w="75" w:type="dxa"/>
            </w:tcMar>
            <w:vAlign w:val="center"/>
          </w:tcPr>
          <w:p w14:paraId="32A89DA2">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符合第二章“供应商须知”第1.</w:t>
            </w:r>
            <w:r>
              <w:rPr>
                <w:rFonts w:hint="eastAsia" w:ascii="Times New Roman" w:hAnsi="Times New Roman"/>
                <w:color w:val="auto"/>
                <w:kern w:val="0"/>
                <w:szCs w:val="21"/>
              </w:rPr>
              <w:t>1</w:t>
            </w:r>
            <w:r>
              <w:rPr>
                <w:rFonts w:ascii="Times New Roman" w:hAnsi="Times New Roman"/>
                <w:color w:val="auto"/>
                <w:kern w:val="0"/>
                <w:szCs w:val="21"/>
              </w:rPr>
              <w:t>.</w:t>
            </w:r>
            <w:r>
              <w:rPr>
                <w:rFonts w:hint="eastAsia" w:ascii="Times New Roman" w:hAnsi="Times New Roman"/>
                <w:color w:val="auto"/>
                <w:kern w:val="0"/>
                <w:szCs w:val="21"/>
              </w:rPr>
              <w:t>1</w:t>
            </w:r>
            <w:r>
              <w:rPr>
                <w:rFonts w:ascii="Times New Roman" w:hAnsi="Times New Roman"/>
                <w:color w:val="auto"/>
                <w:kern w:val="0"/>
                <w:szCs w:val="21"/>
              </w:rPr>
              <w:t>项规定</w:t>
            </w:r>
          </w:p>
        </w:tc>
      </w:tr>
      <w:tr w14:paraId="7C0744C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5C746238">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77E8D555">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3A4D19A9">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安全目标</w:t>
            </w:r>
          </w:p>
        </w:tc>
        <w:tc>
          <w:tcPr>
            <w:tcW w:w="5498" w:type="dxa"/>
            <w:tcMar>
              <w:left w:w="75" w:type="dxa"/>
            </w:tcMar>
            <w:vAlign w:val="center"/>
          </w:tcPr>
          <w:p w14:paraId="3ADE44EE">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符合第二章“供应商须知”第1.</w:t>
            </w:r>
            <w:r>
              <w:rPr>
                <w:rFonts w:hint="eastAsia" w:ascii="Times New Roman" w:hAnsi="Times New Roman"/>
                <w:color w:val="auto"/>
                <w:kern w:val="0"/>
                <w:szCs w:val="21"/>
              </w:rPr>
              <w:t>1</w:t>
            </w:r>
            <w:r>
              <w:rPr>
                <w:rFonts w:ascii="Times New Roman" w:hAnsi="Times New Roman"/>
                <w:color w:val="auto"/>
                <w:kern w:val="0"/>
                <w:szCs w:val="21"/>
              </w:rPr>
              <w:t>.</w:t>
            </w:r>
            <w:r>
              <w:rPr>
                <w:rFonts w:hint="eastAsia" w:ascii="Times New Roman" w:hAnsi="Times New Roman"/>
                <w:color w:val="auto"/>
                <w:kern w:val="0"/>
                <w:szCs w:val="21"/>
              </w:rPr>
              <w:t>2</w:t>
            </w:r>
            <w:r>
              <w:rPr>
                <w:rFonts w:ascii="Times New Roman" w:hAnsi="Times New Roman"/>
                <w:color w:val="auto"/>
                <w:kern w:val="0"/>
                <w:szCs w:val="21"/>
              </w:rPr>
              <w:t>项规定</w:t>
            </w:r>
          </w:p>
        </w:tc>
      </w:tr>
      <w:tr w14:paraId="0CBB95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3DE7BE0C">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7E72AE25">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108FAED7">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响应有效期</w:t>
            </w:r>
          </w:p>
        </w:tc>
        <w:tc>
          <w:tcPr>
            <w:tcW w:w="5498" w:type="dxa"/>
            <w:tcMar>
              <w:left w:w="75" w:type="dxa"/>
            </w:tcMar>
            <w:vAlign w:val="center"/>
          </w:tcPr>
          <w:p w14:paraId="73332912">
            <w:pPr>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符合第二章“供应商须知”第3.3.1项规定</w:t>
            </w:r>
          </w:p>
        </w:tc>
      </w:tr>
      <w:tr w14:paraId="46E2FDD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13714915">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7C0D5F86">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2816A106">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响应保证金</w:t>
            </w:r>
          </w:p>
        </w:tc>
        <w:tc>
          <w:tcPr>
            <w:tcW w:w="5498" w:type="dxa"/>
            <w:tcMar>
              <w:left w:w="75" w:type="dxa"/>
            </w:tcMar>
            <w:vAlign w:val="center"/>
          </w:tcPr>
          <w:p w14:paraId="072C3B13">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w:t>
            </w:r>
          </w:p>
        </w:tc>
      </w:tr>
      <w:tr w14:paraId="003689B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0D3165A5">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3B152F6D">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36C94330">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权利义务</w:t>
            </w:r>
          </w:p>
        </w:tc>
        <w:tc>
          <w:tcPr>
            <w:tcW w:w="5498" w:type="dxa"/>
            <w:tcMar>
              <w:left w:w="75" w:type="dxa"/>
            </w:tcMar>
            <w:vAlign w:val="center"/>
          </w:tcPr>
          <w:p w14:paraId="62235310">
            <w:pPr>
              <w:widowControl/>
              <w:adjustRightInd w:val="0"/>
              <w:snapToGrid w:val="0"/>
              <w:spacing w:line="360" w:lineRule="atLeast"/>
              <w:jc w:val="left"/>
              <w:rPr>
                <w:rFonts w:ascii="Times New Roman" w:hAnsi="Times New Roman"/>
                <w:color w:val="auto"/>
                <w:kern w:val="0"/>
                <w:szCs w:val="21"/>
              </w:rPr>
            </w:pPr>
            <w:r>
              <w:rPr>
                <w:rFonts w:ascii="Times New Roman" w:hAnsi="Times New Roman"/>
                <w:bCs/>
                <w:color w:val="auto"/>
                <w:kern w:val="0"/>
                <w:szCs w:val="21"/>
              </w:rPr>
              <w:t>符合询比文件规定</w:t>
            </w:r>
          </w:p>
        </w:tc>
      </w:tr>
      <w:tr w14:paraId="3F5F5C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474E29D1">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1CA705D4">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4E976224">
            <w:pPr>
              <w:widowControl/>
              <w:adjustRightInd w:val="0"/>
              <w:snapToGrid w:val="0"/>
              <w:spacing w:line="360" w:lineRule="atLeast"/>
              <w:jc w:val="left"/>
              <w:rPr>
                <w:rFonts w:ascii="Times New Roman" w:hAnsi="Times New Roman"/>
                <w:bCs/>
                <w:color w:val="auto"/>
                <w:kern w:val="0"/>
                <w:szCs w:val="21"/>
              </w:rPr>
            </w:pPr>
            <w:r>
              <w:rPr>
                <w:rFonts w:ascii="Times New Roman" w:hAnsi="Times New Roman"/>
                <w:bCs/>
                <w:color w:val="auto"/>
                <w:kern w:val="0"/>
                <w:szCs w:val="21"/>
              </w:rPr>
              <w:t>询比文件的获取</w:t>
            </w:r>
          </w:p>
        </w:tc>
        <w:tc>
          <w:tcPr>
            <w:tcW w:w="5498" w:type="dxa"/>
            <w:tcMar>
              <w:left w:w="75" w:type="dxa"/>
            </w:tcMar>
            <w:vAlign w:val="center"/>
          </w:tcPr>
          <w:p w14:paraId="209CEDE6">
            <w:pPr>
              <w:widowControl/>
              <w:adjustRightInd w:val="0"/>
              <w:snapToGrid w:val="0"/>
              <w:spacing w:line="360" w:lineRule="atLeast"/>
              <w:jc w:val="left"/>
              <w:rPr>
                <w:rFonts w:ascii="Times New Roman" w:hAnsi="Times New Roman"/>
                <w:bCs/>
                <w:color w:val="auto"/>
                <w:kern w:val="0"/>
                <w:szCs w:val="21"/>
              </w:rPr>
            </w:pPr>
            <w:r>
              <w:rPr>
                <w:rFonts w:ascii="Times New Roman" w:hAnsi="Times New Roman"/>
                <w:bCs/>
                <w:color w:val="auto"/>
                <w:kern w:val="0"/>
                <w:szCs w:val="21"/>
              </w:rPr>
              <w:t>符合</w:t>
            </w:r>
            <w:r>
              <w:rPr>
                <w:rFonts w:ascii="Times New Roman" w:hAnsi="Times New Roman"/>
                <w:color w:val="auto"/>
              </w:rPr>
              <w:t>第一章“</w:t>
            </w:r>
            <w:r>
              <w:rPr>
                <w:rFonts w:hint="eastAsia" w:ascii="Times New Roman" w:hAnsi="Times New Roman"/>
                <w:color w:val="auto"/>
                <w:szCs w:val="21"/>
              </w:rPr>
              <w:t>采购公告</w:t>
            </w:r>
            <w:r>
              <w:rPr>
                <w:rFonts w:ascii="Times New Roman" w:hAnsi="Times New Roman"/>
                <w:color w:val="auto"/>
              </w:rPr>
              <w:t>”</w:t>
            </w:r>
            <w:r>
              <w:rPr>
                <w:rFonts w:hint="eastAsia" w:ascii="Times New Roman" w:hAnsi="Times New Roman"/>
                <w:bCs/>
                <w:color w:val="auto"/>
                <w:kern w:val="0"/>
                <w:szCs w:val="21"/>
              </w:rPr>
              <w:t>规定</w:t>
            </w:r>
          </w:p>
        </w:tc>
      </w:tr>
      <w:tr w14:paraId="602F325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48792DC5">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6BDDC8F6">
            <w:pPr>
              <w:widowControl/>
              <w:adjustRightInd w:val="0"/>
              <w:snapToGrid w:val="0"/>
              <w:spacing w:line="360" w:lineRule="atLeast"/>
              <w:jc w:val="center"/>
              <w:rPr>
                <w:rFonts w:ascii="Times New Roman" w:hAnsi="Times New Roman"/>
                <w:color w:val="auto"/>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14:paraId="367382DF">
            <w:pPr>
              <w:widowControl/>
              <w:adjustRightInd w:val="0"/>
              <w:snapToGrid w:val="0"/>
              <w:spacing w:line="360" w:lineRule="atLeast"/>
              <w:jc w:val="left"/>
              <w:rPr>
                <w:rFonts w:ascii="Times New Roman" w:hAnsi="Times New Roman"/>
                <w:bCs/>
                <w:color w:val="auto"/>
                <w:kern w:val="0"/>
                <w:szCs w:val="21"/>
              </w:rPr>
            </w:pPr>
            <w:r>
              <w:rPr>
                <w:rFonts w:hint="eastAsia" w:ascii="Times New Roman" w:hAnsi="Times New Roman"/>
                <w:bCs/>
                <w:color w:val="auto"/>
                <w:kern w:val="0"/>
                <w:szCs w:val="21"/>
              </w:rPr>
              <w:t>联合体</w:t>
            </w:r>
          </w:p>
        </w:tc>
        <w:tc>
          <w:tcPr>
            <w:tcW w:w="5498" w:type="dxa"/>
            <w:tcBorders>
              <w:top w:val="outset" w:color="auto" w:sz="6" w:space="0"/>
              <w:left w:val="single" w:color="auto" w:sz="4" w:space="0"/>
              <w:right w:val="outset" w:color="auto" w:sz="6" w:space="0"/>
            </w:tcBorders>
            <w:tcMar>
              <w:left w:w="75" w:type="dxa"/>
            </w:tcMar>
            <w:vAlign w:val="center"/>
          </w:tcPr>
          <w:p w14:paraId="08708872">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未以联合体形式报价</w:t>
            </w:r>
          </w:p>
        </w:tc>
      </w:tr>
      <w:tr w14:paraId="0F829F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0DAA0A0C">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4F501FD0">
            <w:pPr>
              <w:widowControl/>
              <w:adjustRightInd w:val="0"/>
              <w:snapToGrid w:val="0"/>
              <w:spacing w:line="360" w:lineRule="atLeast"/>
              <w:jc w:val="center"/>
              <w:rPr>
                <w:rFonts w:ascii="Times New Roman" w:hAnsi="Times New Roman"/>
                <w:color w:val="auto"/>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14:paraId="4FE143E8">
            <w:pPr>
              <w:widowControl/>
              <w:adjustRightInd w:val="0"/>
              <w:snapToGrid w:val="0"/>
              <w:spacing w:line="360" w:lineRule="atLeast"/>
              <w:jc w:val="left"/>
              <w:rPr>
                <w:rFonts w:ascii="Times New Roman" w:hAnsi="Times New Roman"/>
                <w:color w:val="auto"/>
                <w:kern w:val="0"/>
                <w:szCs w:val="21"/>
              </w:rPr>
            </w:pPr>
            <w:r>
              <w:rPr>
                <w:rFonts w:ascii="Times New Roman" w:hAnsi="Times New Roman"/>
                <w:bCs/>
                <w:color w:val="auto"/>
                <w:kern w:val="0"/>
                <w:szCs w:val="21"/>
              </w:rPr>
              <w:t>分包</w:t>
            </w:r>
          </w:p>
        </w:tc>
        <w:tc>
          <w:tcPr>
            <w:tcW w:w="5498" w:type="dxa"/>
            <w:tcBorders>
              <w:top w:val="outset" w:color="auto" w:sz="6" w:space="0"/>
              <w:left w:val="single" w:color="auto" w:sz="4" w:space="0"/>
              <w:right w:val="outset" w:color="auto" w:sz="6" w:space="0"/>
            </w:tcBorders>
            <w:tcMar>
              <w:left w:w="75" w:type="dxa"/>
            </w:tcMar>
            <w:vAlign w:val="center"/>
          </w:tcPr>
          <w:p w14:paraId="0FF6F0DA">
            <w:pPr>
              <w:widowControl/>
              <w:adjustRightInd w:val="0"/>
              <w:snapToGrid w:val="0"/>
              <w:spacing w:line="360" w:lineRule="atLeast"/>
              <w:jc w:val="left"/>
              <w:rPr>
                <w:rFonts w:ascii="Times New Roman" w:hAnsi="Times New Roman"/>
                <w:color w:val="auto"/>
                <w:kern w:val="0"/>
                <w:szCs w:val="21"/>
              </w:rPr>
            </w:pPr>
            <w:r>
              <w:rPr>
                <w:rFonts w:hint="eastAsia" w:ascii="Times New Roman" w:hAnsi="Times New Roman"/>
                <w:color w:val="auto"/>
                <w:kern w:val="0"/>
                <w:szCs w:val="21"/>
              </w:rPr>
              <w:t>没有分包</w:t>
            </w:r>
          </w:p>
        </w:tc>
      </w:tr>
      <w:tr w14:paraId="4F4442B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21265173">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560F61A6">
            <w:pPr>
              <w:widowControl/>
              <w:adjustRightInd w:val="0"/>
              <w:snapToGrid w:val="0"/>
              <w:spacing w:line="360" w:lineRule="atLeast"/>
              <w:jc w:val="center"/>
              <w:rPr>
                <w:rFonts w:ascii="Times New Roman" w:hAnsi="Times New Roman"/>
                <w:color w:val="auto"/>
                <w:kern w:val="0"/>
                <w:szCs w:val="21"/>
              </w:rPr>
            </w:pPr>
          </w:p>
        </w:tc>
        <w:tc>
          <w:tcPr>
            <w:tcW w:w="1700" w:type="dxa"/>
            <w:tcBorders>
              <w:top w:val="single" w:color="auto" w:sz="4" w:space="0"/>
              <w:left w:val="single" w:color="auto" w:sz="4" w:space="0"/>
              <w:right w:val="single" w:color="auto" w:sz="4" w:space="0"/>
            </w:tcBorders>
            <w:tcMar>
              <w:left w:w="75" w:type="dxa"/>
            </w:tcMar>
            <w:vAlign w:val="center"/>
          </w:tcPr>
          <w:p w14:paraId="2721F1FA">
            <w:pPr>
              <w:widowControl/>
              <w:adjustRightInd w:val="0"/>
              <w:snapToGrid w:val="0"/>
              <w:spacing w:line="360" w:lineRule="atLeast"/>
              <w:jc w:val="left"/>
              <w:rPr>
                <w:rFonts w:ascii="Times New Roman" w:hAnsi="Times New Roman"/>
                <w:bCs/>
                <w:color w:val="auto"/>
                <w:kern w:val="0"/>
                <w:szCs w:val="21"/>
              </w:rPr>
            </w:pPr>
            <w:r>
              <w:rPr>
                <w:rFonts w:ascii="Times New Roman" w:hAnsi="Times New Roman"/>
                <w:color w:val="auto"/>
                <w:kern w:val="0"/>
                <w:szCs w:val="21"/>
              </w:rPr>
              <w:t>报价</w:t>
            </w:r>
          </w:p>
        </w:tc>
        <w:tc>
          <w:tcPr>
            <w:tcW w:w="5498" w:type="dxa"/>
            <w:tcBorders>
              <w:top w:val="outset" w:color="auto" w:sz="6" w:space="0"/>
              <w:left w:val="single" w:color="auto" w:sz="4" w:space="0"/>
              <w:right w:val="outset" w:color="auto" w:sz="6" w:space="0"/>
            </w:tcBorders>
            <w:tcMar>
              <w:left w:w="75" w:type="dxa"/>
            </w:tcMar>
            <w:vAlign w:val="center"/>
          </w:tcPr>
          <w:p w14:paraId="5C4CC109">
            <w:pPr>
              <w:widowControl/>
              <w:adjustRightInd w:val="0"/>
              <w:snapToGrid w:val="0"/>
              <w:spacing w:line="360" w:lineRule="atLeast"/>
              <w:jc w:val="left"/>
              <w:rPr>
                <w:rFonts w:ascii="Times New Roman" w:hAnsi="Times New Roman"/>
                <w:color w:val="auto"/>
              </w:rPr>
            </w:pPr>
            <w:r>
              <w:rPr>
                <w:rFonts w:ascii="Times New Roman" w:hAnsi="Times New Roman"/>
                <w:color w:val="auto"/>
              </w:rPr>
              <w:t>（1）报价未超过询比文件设定的最高限价。</w:t>
            </w:r>
          </w:p>
          <w:p w14:paraId="07965F79">
            <w:pPr>
              <w:widowControl/>
              <w:adjustRightInd w:val="0"/>
              <w:snapToGrid w:val="0"/>
              <w:spacing w:line="360" w:lineRule="atLeast"/>
              <w:jc w:val="left"/>
              <w:rPr>
                <w:rFonts w:ascii="Times New Roman" w:hAnsi="Times New Roman"/>
                <w:color w:val="auto"/>
              </w:rPr>
            </w:pPr>
            <w:r>
              <w:rPr>
                <w:rFonts w:hint="eastAsia" w:ascii="Times New Roman" w:hAnsi="Times New Roman"/>
                <w:color w:val="auto"/>
              </w:rPr>
              <w:t>（2）已标价的报价清单总报价和报价函的报价一致（四舍五入除外）。</w:t>
            </w:r>
          </w:p>
          <w:p w14:paraId="2ED95955">
            <w:pPr>
              <w:widowControl/>
              <w:adjustRightInd w:val="0"/>
              <w:snapToGrid w:val="0"/>
              <w:spacing w:line="360" w:lineRule="atLeast"/>
              <w:jc w:val="left"/>
              <w:rPr>
                <w:rFonts w:ascii="Times New Roman" w:hAnsi="Times New Roman"/>
                <w:color w:val="auto"/>
              </w:rPr>
            </w:pPr>
            <w:r>
              <w:rPr>
                <w:rFonts w:ascii="Times New Roman" w:hAnsi="Times New Roman"/>
                <w:color w:val="auto"/>
              </w:rPr>
              <w:t>（</w:t>
            </w:r>
            <w:r>
              <w:rPr>
                <w:rFonts w:hint="eastAsia" w:ascii="Times New Roman" w:hAnsi="Times New Roman"/>
                <w:color w:val="auto"/>
              </w:rPr>
              <w:t>3</w:t>
            </w:r>
            <w:r>
              <w:rPr>
                <w:rFonts w:ascii="Times New Roman" w:hAnsi="Times New Roman"/>
                <w:color w:val="auto"/>
              </w:rPr>
              <w:t>）报价的大写数值能确定具体数值，未出现数量级错误、报价金额单位错误。</w:t>
            </w:r>
          </w:p>
          <w:p w14:paraId="6344EA71">
            <w:pPr>
              <w:widowControl/>
              <w:adjustRightInd w:val="0"/>
              <w:snapToGrid w:val="0"/>
              <w:spacing w:line="360" w:lineRule="atLeast"/>
              <w:jc w:val="left"/>
              <w:rPr>
                <w:rFonts w:ascii="Times New Roman" w:hAnsi="Times New Roman"/>
                <w:color w:val="auto"/>
              </w:rPr>
            </w:pPr>
            <w:r>
              <w:rPr>
                <w:rFonts w:ascii="Times New Roman" w:hAnsi="Times New Roman"/>
                <w:color w:val="auto"/>
              </w:rPr>
              <w:t>（</w:t>
            </w:r>
            <w:r>
              <w:rPr>
                <w:rFonts w:hint="eastAsia" w:ascii="Times New Roman" w:hAnsi="Times New Roman"/>
                <w:color w:val="auto"/>
              </w:rPr>
              <w:t>4</w:t>
            </w:r>
            <w:r>
              <w:rPr>
                <w:rFonts w:ascii="Times New Roman" w:hAnsi="Times New Roman"/>
                <w:color w:val="auto"/>
              </w:rPr>
              <w:t>）同一供应商未递交两个以上不同的报价。</w:t>
            </w:r>
          </w:p>
          <w:p w14:paraId="65E2E5B6">
            <w:pPr>
              <w:widowControl/>
              <w:adjustRightInd w:val="0"/>
              <w:snapToGrid w:val="0"/>
              <w:spacing w:line="360" w:lineRule="atLeast"/>
              <w:jc w:val="left"/>
              <w:rPr>
                <w:rFonts w:ascii="Times New Roman" w:hAnsi="Times New Roman"/>
                <w:color w:val="auto"/>
              </w:rPr>
            </w:pPr>
            <w:r>
              <w:rPr>
                <w:rFonts w:ascii="Times New Roman" w:hAnsi="Times New Roman"/>
                <w:color w:val="auto"/>
              </w:rPr>
              <w:t>（</w:t>
            </w:r>
            <w:r>
              <w:rPr>
                <w:rFonts w:hint="eastAsia" w:ascii="Times New Roman" w:hAnsi="Times New Roman"/>
                <w:color w:val="auto"/>
              </w:rPr>
              <w:t>5</w:t>
            </w:r>
            <w:r>
              <w:rPr>
                <w:rFonts w:ascii="Times New Roman" w:hAnsi="Times New Roman"/>
                <w:color w:val="auto"/>
              </w:rPr>
              <w:t>）供应商</w:t>
            </w:r>
            <w:r>
              <w:rPr>
                <w:rFonts w:hint="eastAsia" w:ascii="Times New Roman" w:hAnsi="Times New Roman"/>
                <w:color w:val="auto"/>
              </w:rPr>
              <w:t>按</w:t>
            </w:r>
            <w:r>
              <w:rPr>
                <w:rFonts w:ascii="Times New Roman" w:hAnsi="Times New Roman"/>
                <w:color w:val="auto"/>
              </w:rPr>
              <w:t>采购人提供的书面</w:t>
            </w:r>
            <w:r>
              <w:rPr>
                <w:rFonts w:hint="eastAsia" w:ascii="Times New Roman" w:hAnsi="Times New Roman"/>
                <w:color w:val="auto"/>
              </w:rPr>
              <w:t>报价清单填写了报价，且未修改报价清单说明、数量等实质性内容</w:t>
            </w:r>
            <w:r>
              <w:rPr>
                <w:rFonts w:ascii="Times New Roman" w:hAnsi="Times New Roman"/>
                <w:color w:val="auto"/>
              </w:rPr>
              <w:t>。</w:t>
            </w:r>
          </w:p>
          <w:p w14:paraId="4C937033">
            <w:pPr>
              <w:widowControl/>
              <w:adjustRightInd w:val="0"/>
              <w:snapToGrid w:val="0"/>
              <w:spacing w:line="360" w:lineRule="atLeast"/>
              <w:jc w:val="left"/>
              <w:rPr>
                <w:rFonts w:ascii="Times New Roman" w:hAnsi="Times New Roman"/>
                <w:color w:val="auto"/>
              </w:rPr>
            </w:pPr>
            <w:r>
              <w:rPr>
                <w:rFonts w:ascii="Times New Roman" w:hAnsi="Times New Roman"/>
                <w:color w:val="auto"/>
              </w:rPr>
              <w:t>（</w:t>
            </w:r>
            <w:r>
              <w:rPr>
                <w:rFonts w:hint="eastAsia" w:ascii="Times New Roman" w:hAnsi="Times New Roman"/>
                <w:color w:val="auto"/>
              </w:rPr>
              <w:t>6</w:t>
            </w:r>
            <w:r>
              <w:rPr>
                <w:rFonts w:ascii="Times New Roman" w:hAnsi="Times New Roman"/>
                <w:color w:val="auto"/>
              </w:rPr>
              <w:t>）已标价</w:t>
            </w:r>
            <w:r>
              <w:rPr>
                <w:rFonts w:hint="eastAsia" w:ascii="Times New Roman" w:hAnsi="Times New Roman"/>
                <w:color w:val="auto"/>
                <w:kern w:val="0"/>
                <w:szCs w:val="21"/>
              </w:rPr>
              <w:t>报价清单</w:t>
            </w:r>
            <w:r>
              <w:rPr>
                <w:rFonts w:ascii="Times New Roman" w:hAnsi="Times New Roman"/>
                <w:color w:val="auto"/>
                <w:kern w:val="0"/>
                <w:szCs w:val="21"/>
              </w:rPr>
              <w:t>中未更改询比文件确定的暂列金额。</w:t>
            </w:r>
          </w:p>
        </w:tc>
      </w:tr>
      <w:tr w14:paraId="20130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67" w:hRule="atLeast"/>
          <w:jc w:val="center"/>
        </w:trPr>
        <w:tc>
          <w:tcPr>
            <w:tcW w:w="500" w:type="dxa"/>
            <w:vMerge w:val="continue"/>
            <w:vAlign w:val="center"/>
          </w:tcPr>
          <w:p w14:paraId="08C17AA6">
            <w:pPr>
              <w:widowControl/>
              <w:adjustRightInd w:val="0"/>
              <w:snapToGrid w:val="0"/>
              <w:spacing w:line="360" w:lineRule="atLeast"/>
              <w:jc w:val="center"/>
              <w:rPr>
                <w:rFonts w:ascii="Times New Roman" w:hAnsi="Times New Roman"/>
                <w:color w:val="auto"/>
                <w:kern w:val="0"/>
                <w:szCs w:val="21"/>
              </w:rPr>
            </w:pPr>
          </w:p>
        </w:tc>
        <w:tc>
          <w:tcPr>
            <w:tcW w:w="1500" w:type="dxa"/>
            <w:vMerge w:val="continue"/>
            <w:vAlign w:val="center"/>
          </w:tcPr>
          <w:p w14:paraId="018ADCF1">
            <w:pPr>
              <w:widowControl/>
              <w:adjustRightInd w:val="0"/>
              <w:snapToGrid w:val="0"/>
              <w:spacing w:line="360" w:lineRule="atLeast"/>
              <w:jc w:val="center"/>
              <w:rPr>
                <w:rFonts w:ascii="Times New Roman" w:hAnsi="Times New Roman"/>
                <w:color w:val="auto"/>
                <w:kern w:val="0"/>
                <w:szCs w:val="21"/>
              </w:rPr>
            </w:pPr>
          </w:p>
        </w:tc>
        <w:tc>
          <w:tcPr>
            <w:tcW w:w="1700" w:type="dxa"/>
            <w:tcMar>
              <w:left w:w="75" w:type="dxa"/>
            </w:tcMar>
            <w:vAlign w:val="center"/>
          </w:tcPr>
          <w:p w14:paraId="474ACA97">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其他实质性要求</w:t>
            </w:r>
          </w:p>
        </w:tc>
        <w:tc>
          <w:tcPr>
            <w:tcW w:w="5498" w:type="dxa"/>
            <w:tcMar>
              <w:left w:w="75" w:type="dxa"/>
            </w:tcMar>
            <w:vAlign w:val="center"/>
          </w:tcPr>
          <w:p w14:paraId="1B4ACFD0">
            <w:pPr>
              <w:widowControl/>
              <w:adjustRightInd w:val="0"/>
              <w:snapToGrid w:val="0"/>
              <w:spacing w:line="360" w:lineRule="atLeast"/>
              <w:jc w:val="left"/>
              <w:rPr>
                <w:rFonts w:ascii="Times New Roman" w:hAnsi="Times New Roman"/>
                <w:color w:val="auto"/>
                <w:kern w:val="0"/>
                <w:szCs w:val="21"/>
              </w:rPr>
            </w:pPr>
            <w:r>
              <w:rPr>
                <w:rFonts w:ascii="Times New Roman" w:hAnsi="Times New Roman"/>
                <w:color w:val="auto"/>
                <w:kern w:val="0"/>
                <w:szCs w:val="21"/>
              </w:rPr>
              <w:t>符合询比文件的其他实质性要求和条件</w:t>
            </w:r>
          </w:p>
        </w:tc>
      </w:tr>
    </w:tbl>
    <w:p w14:paraId="15C1E5A7">
      <w:pPr>
        <w:widowControl/>
        <w:spacing w:after="312" w:afterLines="100" w:line="420" w:lineRule="exact"/>
        <w:jc w:val="center"/>
        <w:rPr>
          <w:rFonts w:ascii="Times New Roman" w:hAnsi="Times New Roman"/>
          <w:color w:val="auto"/>
          <w:kern w:val="0"/>
          <w:szCs w:val="21"/>
        </w:rPr>
      </w:pPr>
    </w:p>
    <w:p w14:paraId="4A940179">
      <w:pPr>
        <w:jc w:val="right"/>
        <w:rPr>
          <w:rFonts w:ascii="Times New Roman" w:hAnsi="Times New Roman"/>
          <w:color w:val="auto"/>
        </w:rPr>
      </w:pPr>
    </w:p>
    <w:tbl>
      <w:tblPr>
        <w:tblStyle w:val="20"/>
        <w:tblW w:w="9331" w:type="dxa"/>
        <w:jc w:val="center"/>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062"/>
        <w:gridCol w:w="1605"/>
        <w:gridCol w:w="1365"/>
        <w:gridCol w:w="5299"/>
      </w:tblGrid>
      <w:tr w14:paraId="2D0DDEDE">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2667" w:type="dxa"/>
            <w:gridSpan w:val="2"/>
            <w:tcBorders>
              <w:top w:val="single" w:color="auto" w:sz="4" w:space="0"/>
              <w:bottom w:val="single" w:color="auto" w:sz="4" w:space="0"/>
              <w:right w:val="single" w:color="auto" w:sz="4" w:space="0"/>
            </w:tcBorders>
            <w:vAlign w:val="center"/>
          </w:tcPr>
          <w:p w14:paraId="2B095593">
            <w:pPr>
              <w:spacing w:line="360" w:lineRule="atLeast"/>
              <w:jc w:val="center"/>
              <w:rPr>
                <w:rFonts w:ascii="Times New Roman" w:hAnsi="Times New Roman"/>
                <w:b/>
                <w:color w:val="auto"/>
                <w:szCs w:val="21"/>
              </w:rPr>
            </w:pPr>
            <w:r>
              <w:rPr>
                <w:rFonts w:ascii="Times New Roman" w:hAnsi="Times New Roman"/>
                <w:b/>
                <w:color w:val="auto"/>
                <w:szCs w:val="21"/>
              </w:rPr>
              <w:t>条款号</w:t>
            </w:r>
          </w:p>
        </w:tc>
        <w:tc>
          <w:tcPr>
            <w:tcW w:w="1365" w:type="dxa"/>
            <w:tcBorders>
              <w:top w:val="single" w:color="auto" w:sz="4" w:space="0"/>
              <w:left w:val="single" w:color="auto" w:sz="4" w:space="0"/>
              <w:bottom w:val="single" w:color="auto" w:sz="4" w:space="0"/>
              <w:right w:val="single" w:color="auto" w:sz="4" w:space="0"/>
            </w:tcBorders>
            <w:vAlign w:val="center"/>
          </w:tcPr>
          <w:p w14:paraId="2024C158">
            <w:pPr>
              <w:spacing w:line="360" w:lineRule="atLeast"/>
              <w:jc w:val="center"/>
              <w:rPr>
                <w:rFonts w:ascii="Times New Roman" w:hAnsi="Times New Roman"/>
                <w:b/>
                <w:color w:val="auto"/>
                <w:szCs w:val="21"/>
              </w:rPr>
            </w:pPr>
            <w:r>
              <w:rPr>
                <w:rFonts w:ascii="Times New Roman" w:hAnsi="Times New Roman"/>
                <w:b/>
                <w:color w:val="auto"/>
                <w:szCs w:val="21"/>
              </w:rPr>
              <w:t>量化因素</w:t>
            </w:r>
          </w:p>
        </w:tc>
        <w:tc>
          <w:tcPr>
            <w:tcW w:w="5299" w:type="dxa"/>
            <w:tcBorders>
              <w:top w:val="single" w:color="auto" w:sz="4" w:space="0"/>
              <w:left w:val="single" w:color="auto" w:sz="4" w:space="0"/>
              <w:bottom w:val="single" w:color="auto" w:sz="4" w:space="0"/>
              <w:right w:val="single" w:color="auto" w:sz="4" w:space="0"/>
            </w:tcBorders>
            <w:vAlign w:val="center"/>
          </w:tcPr>
          <w:p w14:paraId="3D1A17BF">
            <w:pPr>
              <w:spacing w:line="360" w:lineRule="atLeast"/>
              <w:jc w:val="center"/>
              <w:rPr>
                <w:rFonts w:ascii="Times New Roman" w:hAnsi="Times New Roman"/>
                <w:b/>
                <w:color w:val="auto"/>
                <w:szCs w:val="21"/>
              </w:rPr>
            </w:pPr>
            <w:r>
              <w:rPr>
                <w:rFonts w:ascii="Times New Roman" w:hAnsi="Times New Roman"/>
                <w:b/>
                <w:color w:val="auto"/>
                <w:szCs w:val="21"/>
              </w:rPr>
              <w:t>量化标准</w:t>
            </w:r>
          </w:p>
        </w:tc>
      </w:tr>
      <w:tr w14:paraId="5D29237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1062" w:type="dxa"/>
            <w:tcBorders>
              <w:top w:val="single" w:color="auto" w:sz="4" w:space="0"/>
              <w:bottom w:val="single" w:color="auto" w:sz="4" w:space="0"/>
              <w:right w:val="single" w:color="auto" w:sz="4" w:space="0"/>
            </w:tcBorders>
            <w:vAlign w:val="center"/>
          </w:tcPr>
          <w:p w14:paraId="082BB462">
            <w:pPr>
              <w:spacing w:line="360" w:lineRule="atLeast"/>
              <w:jc w:val="center"/>
              <w:rPr>
                <w:rFonts w:ascii="Times New Roman" w:hAnsi="Times New Roman"/>
                <w:b/>
                <w:color w:val="auto"/>
                <w:szCs w:val="21"/>
              </w:rPr>
            </w:pPr>
            <w:r>
              <w:rPr>
                <w:rFonts w:ascii="Times New Roman" w:hAnsi="Times New Roman"/>
                <w:color w:val="auto"/>
                <w:szCs w:val="21"/>
              </w:rPr>
              <w:t>2.2</w:t>
            </w:r>
          </w:p>
        </w:tc>
        <w:tc>
          <w:tcPr>
            <w:tcW w:w="1605" w:type="dxa"/>
            <w:tcBorders>
              <w:top w:val="single" w:color="auto" w:sz="4" w:space="0"/>
              <w:bottom w:val="single" w:color="auto" w:sz="4" w:space="0"/>
              <w:right w:val="single" w:color="auto" w:sz="4" w:space="0"/>
            </w:tcBorders>
            <w:vAlign w:val="center"/>
          </w:tcPr>
          <w:p w14:paraId="0FB3BCE4">
            <w:pPr>
              <w:spacing w:line="360" w:lineRule="atLeast"/>
              <w:jc w:val="center"/>
              <w:rPr>
                <w:rFonts w:ascii="Times New Roman" w:hAnsi="Times New Roman"/>
                <w:color w:val="auto"/>
                <w:szCs w:val="21"/>
              </w:rPr>
            </w:pPr>
            <w:r>
              <w:rPr>
                <w:rFonts w:ascii="Times New Roman" w:hAnsi="Times New Roman"/>
                <w:color w:val="auto"/>
                <w:szCs w:val="21"/>
              </w:rPr>
              <w:t>详细评审标准</w:t>
            </w:r>
          </w:p>
        </w:tc>
        <w:tc>
          <w:tcPr>
            <w:tcW w:w="1365" w:type="dxa"/>
            <w:tcBorders>
              <w:top w:val="single" w:color="auto" w:sz="4" w:space="0"/>
              <w:left w:val="single" w:color="auto" w:sz="4" w:space="0"/>
              <w:bottom w:val="single" w:color="auto" w:sz="4" w:space="0"/>
              <w:right w:val="single" w:color="auto" w:sz="4" w:space="0"/>
            </w:tcBorders>
            <w:vAlign w:val="center"/>
          </w:tcPr>
          <w:p w14:paraId="7D622D86">
            <w:pPr>
              <w:spacing w:line="360" w:lineRule="atLeast"/>
              <w:jc w:val="center"/>
              <w:rPr>
                <w:rFonts w:ascii="Times New Roman" w:hAnsi="Times New Roman"/>
                <w:color w:val="auto"/>
                <w:szCs w:val="21"/>
              </w:rPr>
            </w:pPr>
            <w:r>
              <w:rPr>
                <w:rFonts w:ascii="Times New Roman" w:hAnsi="Times New Roman"/>
                <w:color w:val="auto"/>
                <w:szCs w:val="21"/>
              </w:rPr>
              <w:t>评审价计算</w:t>
            </w:r>
          </w:p>
        </w:tc>
        <w:tc>
          <w:tcPr>
            <w:tcW w:w="5299" w:type="dxa"/>
            <w:tcBorders>
              <w:top w:val="single" w:color="auto" w:sz="4" w:space="0"/>
              <w:left w:val="single" w:color="auto" w:sz="4" w:space="0"/>
              <w:bottom w:val="single" w:color="auto" w:sz="4" w:space="0"/>
              <w:right w:val="single" w:color="auto" w:sz="4" w:space="0"/>
            </w:tcBorders>
          </w:tcPr>
          <w:p w14:paraId="3A795E73">
            <w:pPr>
              <w:spacing w:line="360" w:lineRule="auto"/>
              <w:rPr>
                <w:rFonts w:ascii="Times New Roman" w:hAnsi="Times New Roman" w:eastAsia="仿宋_GB2312"/>
                <w:color w:val="auto"/>
                <w:sz w:val="32"/>
                <w:szCs w:val="32"/>
              </w:rPr>
            </w:pPr>
            <w:r>
              <w:rPr>
                <w:rFonts w:ascii="Times New Roman" w:hAnsi="Times New Roman"/>
                <w:color w:val="auto"/>
                <w:kern w:val="0"/>
                <w:szCs w:val="21"/>
              </w:rPr>
              <w:t>评审价＝</w:t>
            </w:r>
            <w:r>
              <w:rPr>
                <w:rFonts w:hint="eastAsia" w:ascii="Times New Roman" w:hAnsi="Times New Roman"/>
                <w:color w:val="auto"/>
                <w:kern w:val="0"/>
                <w:szCs w:val="21"/>
              </w:rPr>
              <w:t>修正后的</w:t>
            </w:r>
            <w:r>
              <w:rPr>
                <w:rFonts w:ascii="Times New Roman" w:hAnsi="Times New Roman"/>
                <w:color w:val="auto"/>
                <w:kern w:val="0"/>
                <w:szCs w:val="21"/>
              </w:rPr>
              <w:t>报价</w:t>
            </w:r>
          </w:p>
        </w:tc>
      </w:tr>
      <w:tr w14:paraId="4888D12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jc w:val="center"/>
        </w:trPr>
        <w:tc>
          <w:tcPr>
            <w:tcW w:w="9331" w:type="dxa"/>
            <w:gridSpan w:val="4"/>
            <w:tcBorders>
              <w:top w:val="single" w:color="auto" w:sz="4" w:space="0"/>
              <w:bottom w:val="single" w:color="auto" w:sz="4" w:space="0"/>
              <w:right w:val="single" w:color="auto" w:sz="4" w:space="0"/>
            </w:tcBorders>
            <w:vAlign w:val="center"/>
          </w:tcPr>
          <w:p w14:paraId="0E4357B7">
            <w:pPr>
              <w:spacing w:line="360" w:lineRule="atLeast"/>
              <w:rPr>
                <w:rFonts w:ascii="Times New Roman" w:hAnsi="Times New Roman"/>
                <w:color w:val="auto"/>
                <w:szCs w:val="21"/>
              </w:rPr>
            </w:pPr>
            <w:r>
              <w:rPr>
                <w:rFonts w:ascii="Times New Roman" w:hAnsi="Times New Roman"/>
                <w:color w:val="auto"/>
                <w:szCs w:val="21"/>
              </w:rPr>
              <w:t>需要补充的其他内容：</w:t>
            </w:r>
            <w:r>
              <w:rPr>
                <w:rFonts w:hint="eastAsia" w:ascii="Times New Roman" w:hAnsi="Times New Roman"/>
                <w:bCs/>
                <w:color w:val="auto"/>
                <w:szCs w:val="21"/>
              </w:rPr>
              <w:t>当各响应人投标报价增值税税率不一致时。以不含税金额作为评审依据。</w:t>
            </w:r>
          </w:p>
        </w:tc>
      </w:tr>
    </w:tbl>
    <w:p w14:paraId="43CBF465">
      <w:pPr>
        <w:keepNext/>
        <w:keepLines/>
        <w:spacing w:before="156" w:beforeLines="50" w:after="156" w:afterLines="50"/>
        <w:outlineLvl w:val="1"/>
        <w:rPr>
          <w:rFonts w:ascii="Times New Roman" w:hAnsi="Times New Roman" w:eastAsia="黑体"/>
          <w:bCs/>
          <w:color w:val="auto"/>
          <w:sz w:val="24"/>
          <w:szCs w:val="32"/>
        </w:rPr>
      </w:pPr>
      <w:r>
        <w:rPr>
          <w:rFonts w:ascii="Times New Roman" w:hAnsi="Times New Roman" w:eastAsia="黑体"/>
          <w:color w:val="auto"/>
          <w:sz w:val="29"/>
          <w:szCs w:val="29"/>
        </w:rPr>
        <w:br w:type="page"/>
      </w:r>
      <w:bookmarkStart w:id="98" w:name="_Toc161391323"/>
      <w:r>
        <w:rPr>
          <w:rFonts w:ascii="Times New Roman" w:hAnsi="Times New Roman" w:eastAsia="黑体"/>
          <w:bCs/>
          <w:color w:val="auto"/>
          <w:sz w:val="24"/>
          <w:szCs w:val="32"/>
        </w:rPr>
        <w:t>1. 评审方法</w:t>
      </w:r>
      <w:bookmarkEnd w:id="98"/>
    </w:p>
    <w:p w14:paraId="026BA7E1">
      <w:pPr>
        <w:spacing w:line="440" w:lineRule="exact"/>
        <w:ind w:firstLine="420"/>
        <w:rPr>
          <w:rFonts w:ascii="Times New Roman" w:hAnsi="Times New Roman"/>
          <w:color w:val="auto"/>
        </w:rPr>
      </w:pPr>
      <w:r>
        <w:rPr>
          <w:rFonts w:ascii="Times New Roman" w:hAnsi="Times New Roman"/>
          <w:color w:val="auto"/>
        </w:rPr>
        <w:t>本次评</w:t>
      </w:r>
      <w:r>
        <w:rPr>
          <w:rFonts w:hint="eastAsia" w:ascii="Times New Roman" w:hAnsi="Times New Roman"/>
          <w:color w:val="auto"/>
        </w:rPr>
        <w:t>审</w:t>
      </w:r>
      <w:r>
        <w:rPr>
          <w:rFonts w:ascii="Times New Roman" w:hAnsi="Times New Roman"/>
          <w:color w:val="auto"/>
        </w:rPr>
        <w:t>采用最低价法。</w:t>
      </w:r>
      <w:r>
        <w:rPr>
          <w:rFonts w:hint="eastAsia" w:ascii="Times New Roman" w:hAnsi="Times New Roman"/>
          <w:color w:val="auto"/>
        </w:rPr>
        <w:t>评审小组</w:t>
      </w:r>
      <w:r>
        <w:rPr>
          <w:rFonts w:ascii="Times New Roman" w:hAnsi="Times New Roman"/>
          <w:color w:val="auto"/>
        </w:rPr>
        <w:t>对满足</w:t>
      </w:r>
      <w:r>
        <w:rPr>
          <w:rFonts w:hint="eastAsia" w:ascii="Times New Roman" w:hAnsi="Times New Roman"/>
          <w:color w:val="auto"/>
        </w:rPr>
        <w:t>询比文件</w:t>
      </w:r>
      <w:r>
        <w:rPr>
          <w:rFonts w:ascii="Times New Roman" w:hAnsi="Times New Roman"/>
          <w:color w:val="auto"/>
        </w:rPr>
        <w:t>实质性要求的</w:t>
      </w:r>
      <w:r>
        <w:rPr>
          <w:rFonts w:hint="eastAsia" w:ascii="Times New Roman" w:hAnsi="Times New Roman"/>
          <w:color w:val="auto"/>
        </w:rPr>
        <w:t>响应</w:t>
      </w:r>
      <w:r>
        <w:rPr>
          <w:rFonts w:ascii="Times New Roman" w:hAnsi="Times New Roman"/>
          <w:color w:val="auto"/>
        </w:rPr>
        <w:t>文件，按照</w:t>
      </w:r>
      <w:r>
        <w:rPr>
          <w:rFonts w:hint="eastAsia" w:ascii="Times New Roman" w:hAnsi="Times New Roman"/>
          <w:color w:val="auto"/>
        </w:rPr>
        <w:t>评审</w:t>
      </w:r>
      <w:r>
        <w:rPr>
          <w:rFonts w:ascii="Times New Roman" w:hAnsi="Times New Roman"/>
          <w:color w:val="auto"/>
        </w:rPr>
        <w:t>价由低到高的顺序依次推荐</w:t>
      </w:r>
      <w:r>
        <w:rPr>
          <w:rFonts w:hint="eastAsia" w:ascii="Times New Roman" w:hAnsi="Times New Roman"/>
          <w:color w:val="auto"/>
        </w:rPr>
        <w:t>成交候选人</w:t>
      </w:r>
      <w:r>
        <w:rPr>
          <w:rFonts w:ascii="Times New Roman" w:hAnsi="Times New Roman"/>
          <w:color w:val="auto"/>
        </w:rPr>
        <w:t>。如</w:t>
      </w:r>
      <w:r>
        <w:rPr>
          <w:rFonts w:hint="eastAsia" w:ascii="Times New Roman" w:hAnsi="Times New Roman"/>
          <w:color w:val="auto"/>
        </w:rPr>
        <w:t>报价</w:t>
      </w:r>
      <w:r>
        <w:rPr>
          <w:rFonts w:ascii="Times New Roman" w:hAnsi="Times New Roman"/>
          <w:color w:val="auto"/>
        </w:rPr>
        <w:t>相同的，按照</w:t>
      </w:r>
      <w:r>
        <w:rPr>
          <w:rFonts w:hint="eastAsia" w:ascii="Times New Roman" w:hAnsi="Times New Roman"/>
          <w:color w:val="auto"/>
        </w:rPr>
        <w:t>评审</w:t>
      </w:r>
      <w:r>
        <w:rPr>
          <w:rFonts w:ascii="Times New Roman" w:hAnsi="Times New Roman"/>
          <w:color w:val="auto"/>
        </w:rPr>
        <w:t>办法前附表中的规定确定</w:t>
      </w:r>
      <w:r>
        <w:rPr>
          <w:rFonts w:hint="eastAsia" w:ascii="Times New Roman" w:hAnsi="Times New Roman"/>
          <w:color w:val="auto"/>
        </w:rPr>
        <w:t>成交候选人</w:t>
      </w:r>
      <w:r>
        <w:rPr>
          <w:rFonts w:ascii="Times New Roman" w:hAnsi="Times New Roman"/>
          <w:color w:val="auto"/>
        </w:rPr>
        <w:t>顺序。</w:t>
      </w:r>
    </w:p>
    <w:p w14:paraId="77140667">
      <w:pPr>
        <w:keepNext/>
        <w:keepLines/>
        <w:spacing w:before="156" w:beforeLines="50" w:after="156" w:afterLines="50"/>
        <w:outlineLvl w:val="1"/>
        <w:rPr>
          <w:rFonts w:ascii="Times New Roman" w:hAnsi="Times New Roman" w:eastAsia="黑体"/>
          <w:bCs/>
          <w:color w:val="auto"/>
          <w:sz w:val="24"/>
          <w:szCs w:val="32"/>
        </w:rPr>
      </w:pPr>
      <w:bookmarkStart w:id="99" w:name="_Toc161391324"/>
      <w:r>
        <w:rPr>
          <w:rFonts w:ascii="Times New Roman" w:hAnsi="Times New Roman" w:eastAsia="黑体"/>
          <w:bCs/>
          <w:color w:val="auto"/>
          <w:sz w:val="24"/>
          <w:szCs w:val="32"/>
        </w:rPr>
        <w:t>2. 评审标准</w:t>
      </w:r>
      <w:bookmarkEnd w:id="99"/>
    </w:p>
    <w:p w14:paraId="564688F1">
      <w:pPr>
        <w:keepNext/>
        <w:keepLines/>
        <w:spacing w:before="120" w:after="120"/>
        <w:outlineLvl w:val="2"/>
        <w:rPr>
          <w:rFonts w:ascii="Times New Roman" w:hAnsi="Times New Roman" w:eastAsia="黑体"/>
          <w:bCs/>
          <w:color w:val="auto"/>
          <w:sz w:val="24"/>
          <w:szCs w:val="32"/>
        </w:rPr>
      </w:pPr>
      <w:bookmarkStart w:id="100" w:name="_Toc161391325"/>
      <w:r>
        <w:rPr>
          <w:rFonts w:ascii="Times New Roman" w:hAnsi="Times New Roman" w:eastAsia="黑体"/>
          <w:bCs/>
          <w:color w:val="auto"/>
          <w:sz w:val="24"/>
          <w:szCs w:val="32"/>
        </w:rPr>
        <w:t>2.1 初步评审标准</w:t>
      </w:r>
      <w:bookmarkEnd w:id="100"/>
    </w:p>
    <w:p w14:paraId="6B006921">
      <w:pPr>
        <w:spacing w:line="440" w:lineRule="exact"/>
        <w:ind w:firstLine="420"/>
        <w:rPr>
          <w:rFonts w:ascii="Times New Roman" w:hAnsi="Times New Roman"/>
          <w:color w:val="auto"/>
        </w:rPr>
      </w:pPr>
      <w:r>
        <w:rPr>
          <w:rFonts w:ascii="Times New Roman" w:hAnsi="Times New Roman"/>
          <w:color w:val="auto"/>
        </w:rPr>
        <w:t>2.1.1 形式评审标准：见评审办法前附表。</w:t>
      </w:r>
    </w:p>
    <w:p w14:paraId="09CE0031">
      <w:pPr>
        <w:spacing w:line="440" w:lineRule="exact"/>
        <w:ind w:firstLine="420"/>
        <w:rPr>
          <w:rFonts w:ascii="Times New Roman" w:hAnsi="Times New Roman"/>
          <w:color w:val="auto"/>
        </w:rPr>
      </w:pPr>
      <w:r>
        <w:rPr>
          <w:rFonts w:ascii="Times New Roman" w:hAnsi="Times New Roman"/>
          <w:color w:val="auto"/>
        </w:rPr>
        <w:t>2.1.2 资格评审标准：见评审办法前附表。</w:t>
      </w:r>
    </w:p>
    <w:p w14:paraId="3EEA0C2D">
      <w:pPr>
        <w:spacing w:line="440" w:lineRule="exact"/>
        <w:ind w:firstLine="420"/>
        <w:rPr>
          <w:rFonts w:ascii="Times New Roman" w:hAnsi="Times New Roman"/>
          <w:color w:val="auto"/>
        </w:rPr>
      </w:pPr>
      <w:r>
        <w:rPr>
          <w:rFonts w:ascii="Times New Roman" w:hAnsi="Times New Roman"/>
          <w:color w:val="auto"/>
        </w:rPr>
        <w:t>2.1.3 响应性评审标准：见评审办法前附表。</w:t>
      </w:r>
    </w:p>
    <w:p w14:paraId="33E1F2EA">
      <w:pPr>
        <w:keepNext/>
        <w:keepLines/>
        <w:spacing w:before="120" w:after="120"/>
        <w:outlineLvl w:val="2"/>
        <w:rPr>
          <w:rFonts w:ascii="Times New Roman" w:hAnsi="Times New Roman" w:eastAsia="黑体"/>
          <w:bCs/>
          <w:color w:val="auto"/>
          <w:sz w:val="24"/>
          <w:szCs w:val="32"/>
        </w:rPr>
      </w:pPr>
      <w:bookmarkStart w:id="101" w:name="_Toc161391326"/>
      <w:r>
        <w:rPr>
          <w:rFonts w:ascii="Times New Roman" w:hAnsi="Times New Roman" w:eastAsia="黑体"/>
          <w:bCs/>
          <w:color w:val="auto"/>
          <w:sz w:val="24"/>
          <w:szCs w:val="32"/>
        </w:rPr>
        <w:t>2.2 详细评审标准</w:t>
      </w:r>
      <w:bookmarkEnd w:id="101"/>
    </w:p>
    <w:p w14:paraId="7E30C94E">
      <w:pPr>
        <w:spacing w:line="440" w:lineRule="exact"/>
        <w:ind w:firstLine="420"/>
        <w:rPr>
          <w:rFonts w:ascii="Times New Roman" w:hAnsi="Times New Roman"/>
          <w:color w:val="auto"/>
        </w:rPr>
      </w:pPr>
      <w:r>
        <w:rPr>
          <w:rFonts w:ascii="Times New Roman" w:hAnsi="Times New Roman"/>
          <w:color w:val="auto"/>
        </w:rPr>
        <w:t>详细评审标准：见评审办法前附表。</w:t>
      </w:r>
    </w:p>
    <w:p w14:paraId="30A7AE6C">
      <w:pPr>
        <w:keepNext/>
        <w:keepLines/>
        <w:spacing w:before="156" w:beforeLines="50" w:after="156" w:afterLines="50"/>
        <w:outlineLvl w:val="1"/>
        <w:rPr>
          <w:rFonts w:ascii="Times New Roman" w:hAnsi="Times New Roman" w:eastAsia="黑体"/>
          <w:bCs/>
          <w:color w:val="auto"/>
          <w:sz w:val="24"/>
          <w:szCs w:val="32"/>
        </w:rPr>
      </w:pPr>
      <w:bookmarkStart w:id="102" w:name="_Toc161391327"/>
      <w:r>
        <w:rPr>
          <w:rFonts w:ascii="Times New Roman" w:hAnsi="Times New Roman" w:eastAsia="黑体"/>
          <w:bCs/>
          <w:color w:val="auto"/>
          <w:sz w:val="24"/>
          <w:szCs w:val="32"/>
        </w:rPr>
        <w:t>3. 评审程序</w:t>
      </w:r>
      <w:bookmarkEnd w:id="102"/>
    </w:p>
    <w:p w14:paraId="2BDB2D18">
      <w:pPr>
        <w:keepNext/>
        <w:keepLines/>
        <w:spacing w:before="120" w:after="120"/>
        <w:outlineLvl w:val="2"/>
        <w:rPr>
          <w:rFonts w:ascii="Times New Roman" w:hAnsi="Times New Roman" w:eastAsia="黑体"/>
          <w:bCs/>
          <w:color w:val="auto"/>
          <w:sz w:val="24"/>
          <w:szCs w:val="32"/>
        </w:rPr>
      </w:pPr>
      <w:bookmarkStart w:id="103" w:name="_Toc161391328"/>
      <w:r>
        <w:rPr>
          <w:rFonts w:ascii="Times New Roman" w:hAnsi="Times New Roman" w:eastAsia="黑体"/>
          <w:bCs/>
          <w:color w:val="auto"/>
          <w:sz w:val="24"/>
          <w:szCs w:val="32"/>
        </w:rPr>
        <w:t>3.1 初步评审</w:t>
      </w:r>
      <w:bookmarkEnd w:id="103"/>
    </w:p>
    <w:p w14:paraId="125DAC9E">
      <w:pPr>
        <w:spacing w:line="440" w:lineRule="exact"/>
        <w:ind w:firstLine="420"/>
        <w:rPr>
          <w:rFonts w:ascii="Times New Roman" w:hAnsi="Times New Roman"/>
          <w:color w:val="auto"/>
        </w:rPr>
      </w:pPr>
      <w:r>
        <w:rPr>
          <w:rFonts w:ascii="Times New Roman" w:hAnsi="Times New Roman"/>
          <w:color w:val="auto"/>
        </w:rPr>
        <w:t>3.1.1</w:t>
      </w:r>
      <w:r>
        <w:rPr>
          <w:rFonts w:hint="eastAsia" w:ascii="Times New Roman" w:hAnsi="Times New Roman"/>
          <w:color w:val="auto"/>
        </w:rPr>
        <w:t>评审小组</w:t>
      </w:r>
      <w:r>
        <w:rPr>
          <w:rFonts w:ascii="Times New Roman" w:hAnsi="Times New Roman"/>
          <w:color w:val="auto"/>
        </w:rPr>
        <w:t>依据本章第2.1.1项、第2.1.2项、第2.1.3项规定的标准对响应文件进行评审。有一项不符合评审标准的，</w:t>
      </w:r>
      <w:r>
        <w:rPr>
          <w:rFonts w:hint="eastAsia" w:ascii="Times New Roman" w:hAnsi="Times New Roman"/>
          <w:color w:val="auto"/>
        </w:rPr>
        <w:t>评审小组</w:t>
      </w:r>
      <w:r>
        <w:rPr>
          <w:rFonts w:ascii="Times New Roman" w:hAnsi="Times New Roman"/>
          <w:color w:val="auto"/>
        </w:rPr>
        <w:t>应否决其</w:t>
      </w:r>
      <w:r>
        <w:rPr>
          <w:rFonts w:hint="eastAsia" w:ascii="Times New Roman" w:hAnsi="Times New Roman"/>
          <w:color w:val="auto"/>
        </w:rPr>
        <w:t>响应文件</w:t>
      </w:r>
      <w:r>
        <w:rPr>
          <w:rFonts w:ascii="Times New Roman" w:hAnsi="Times New Roman"/>
          <w:color w:val="auto"/>
        </w:rPr>
        <w:t>。</w:t>
      </w:r>
    </w:p>
    <w:p w14:paraId="2EB3D409">
      <w:pPr>
        <w:spacing w:line="440" w:lineRule="exact"/>
        <w:ind w:firstLine="420"/>
        <w:rPr>
          <w:rFonts w:ascii="Times New Roman" w:hAnsi="Times New Roman"/>
          <w:color w:val="auto"/>
        </w:rPr>
      </w:pPr>
      <w:r>
        <w:rPr>
          <w:rFonts w:ascii="Times New Roman" w:hAnsi="Times New Roman"/>
          <w:color w:val="auto"/>
        </w:rPr>
        <w:t>3.1.</w:t>
      </w:r>
      <w:r>
        <w:rPr>
          <w:rFonts w:hint="eastAsia" w:ascii="Times New Roman" w:hAnsi="Times New Roman"/>
          <w:color w:val="auto"/>
        </w:rPr>
        <w:t xml:space="preserve">2 </w:t>
      </w:r>
      <w:r>
        <w:rPr>
          <w:rFonts w:ascii="Times New Roman" w:hAnsi="Times New Roman"/>
          <w:color w:val="auto"/>
        </w:rPr>
        <w:t>响应文件中填报的报价、</w:t>
      </w:r>
      <w:r>
        <w:rPr>
          <w:rFonts w:hint="eastAsia" w:ascii="Times New Roman" w:hAnsi="Times New Roman"/>
          <w:color w:val="auto"/>
        </w:rPr>
        <w:t>服务期</w:t>
      </w:r>
      <w:r>
        <w:rPr>
          <w:rFonts w:ascii="Times New Roman" w:hAnsi="Times New Roman"/>
          <w:color w:val="auto"/>
        </w:rPr>
        <w:t>、质量标准、安全目标前后不一致</w:t>
      </w:r>
      <w:r>
        <w:rPr>
          <w:rFonts w:hint="eastAsia" w:ascii="Times New Roman" w:hAnsi="Times New Roman"/>
          <w:color w:val="auto"/>
        </w:rPr>
        <w:t>，且报价函中填写的内容满足询比文件要求</w:t>
      </w:r>
      <w:r>
        <w:rPr>
          <w:rFonts w:ascii="Times New Roman" w:hAnsi="Times New Roman"/>
          <w:color w:val="auto"/>
        </w:rPr>
        <w:t>时，</w:t>
      </w:r>
      <w:r>
        <w:rPr>
          <w:rFonts w:hint="eastAsia" w:ascii="Times New Roman" w:hAnsi="Times New Roman"/>
          <w:color w:val="auto"/>
        </w:rPr>
        <w:t>按细微偏差处理，并</w:t>
      </w:r>
      <w:r>
        <w:rPr>
          <w:rFonts w:ascii="Times New Roman" w:hAnsi="Times New Roman"/>
          <w:color w:val="auto"/>
        </w:rPr>
        <w:t>以报价函填报的为准</w:t>
      </w:r>
      <w:r>
        <w:rPr>
          <w:rFonts w:hint="eastAsia" w:ascii="Times New Roman" w:hAnsi="Times New Roman"/>
          <w:color w:val="auto"/>
        </w:rPr>
        <w:t>。</w:t>
      </w:r>
    </w:p>
    <w:p w14:paraId="43DA1E4F">
      <w:pPr>
        <w:spacing w:line="440" w:lineRule="exact"/>
        <w:ind w:firstLine="420"/>
        <w:rPr>
          <w:rFonts w:ascii="Times New Roman" w:hAnsi="Times New Roman"/>
          <w:color w:val="auto"/>
        </w:rPr>
      </w:pPr>
      <w:r>
        <w:rPr>
          <w:rFonts w:hint="eastAsia" w:ascii="Times New Roman" w:hAnsi="Times New Roman"/>
          <w:color w:val="auto"/>
        </w:rPr>
        <w:t xml:space="preserve">3.1.3 </w:t>
      </w:r>
      <w:r>
        <w:rPr>
          <w:rFonts w:ascii="Times New Roman" w:hAnsi="Times New Roman"/>
          <w:color w:val="auto"/>
        </w:rPr>
        <w:t>报价存在</w:t>
      </w:r>
      <w:r>
        <w:rPr>
          <w:rFonts w:hint="eastAsia" w:ascii="Times New Roman" w:hAnsi="Times New Roman"/>
          <w:color w:val="auto"/>
        </w:rPr>
        <w:t>以下</w:t>
      </w:r>
      <w:r>
        <w:rPr>
          <w:rFonts w:ascii="Times New Roman" w:hAnsi="Times New Roman"/>
          <w:color w:val="auto"/>
        </w:rPr>
        <w:t>细微偏差的，</w:t>
      </w:r>
      <w:r>
        <w:rPr>
          <w:rFonts w:hint="eastAsia" w:ascii="Times New Roman" w:hAnsi="Times New Roman"/>
          <w:color w:val="auto"/>
        </w:rPr>
        <w:t>评审小组按以下原则</w:t>
      </w:r>
      <w:r>
        <w:rPr>
          <w:rFonts w:ascii="Times New Roman" w:hAnsi="Times New Roman"/>
          <w:color w:val="auto"/>
        </w:rPr>
        <w:t>对报价进行处理，并要求供应商书面澄清确认，供应商拒不澄清确认的，</w:t>
      </w:r>
      <w:r>
        <w:rPr>
          <w:rFonts w:hint="eastAsia" w:ascii="Times New Roman" w:hAnsi="Times New Roman"/>
          <w:color w:val="auto"/>
        </w:rPr>
        <w:t>评审小组</w:t>
      </w:r>
      <w:r>
        <w:rPr>
          <w:rFonts w:ascii="Times New Roman" w:hAnsi="Times New Roman"/>
          <w:color w:val="auto"/>
        </w:rPr>
        <w:t>应当否决其报价。</w:t>
      </w:r>
    </w:p>
    <w:p w14:paraId="21C989A7">
      <w:pPr>
        <w:spacing w:line="440" w:lineRule="exact"/>
        <w:ind w:firstLine="420"/>
        <w:rPr>
          <w:rFonts w:ascii="Times New Roman" w:hAnsi="Times New Roman"/>
          <w:color w:val="auto"/>
        </w:rPr>
      </w:pPr>
      <w:r>
        <w:rPr>
          <w:rFonts w:hint="eastAsia" w:ascii="Times New Roman" w:hAnsi="Times New Roman"/>
          <w:color w:val="auto"/>
        </w:rPr>
        <w:t>（1）</w:t>
      </w:r>
      <w:r>
        <w:rPr>
          <w:rFonts w:ascii="Times New Roman" w:hAnsi="Times New Roman"/>
          <w:color w:val="auto"/>
        </w:rPr>
        <w:t>报价有算术错误的，评审小组按以下原则对报价进行修正，修正的价格经供应商书面确认后具有约束力。供应商不接受修正价格的，评审小组应否决其报价。</w:t>
      </w:r>
    </w:p>
    <w:p w14:paraId="4BB2940C">
      <w:pPr>
        <w:spacing w:line="440" w:lineRule="exact"/>
        <w:ind w:firstLine="420"/>
        <w:rPr>
          <w:rFonts w:ascii="Times New Roman" w:hAnsi="Times New Roman"/>
          <w:color w:val="auto"/>
        </w:rPr>
      </w:pPr>
      <w:r>
        <w:rPr>
          <w:rFonts w:ascii="Times New Roman" w:hAnsi="Times New Roman"/>
          <w:color w:val="auto"/>
        </w:rPr>
        <w:t>①响应文件中的大写金额与小写金额不一致的，以大写金额为准；</w:t>
      </w:r>
    </w:p>
    <w:p w14:paraId="1CE67C09">
      <w:pPr>
        <w:spacing w:line="440" w:lineRule="exact"/>
        <w:ind w:firstLine="420"/>
        <w:rPr>
          <w:rFonts w:ascii="Times New Roman" w:hAnsi="Times New Roman"/>
          <w:color w:val="auto"/>
        </w:rPr>
      </w:pPr>
      <w:r>
        <w:rPr>
          <w:rFonts w:ascii="Times New Roman" w:hAnsi="Times New Roman"/>
          <w:color w:val="auto"/>
        </w:rPr>
        <w:t>②总价金额与依据单价计算出的结果不一致的，以单价金额为准修正总价，但单价金额小数点有明显错误的除外；</w:t>
      </w:r>
    </w:p>
    <w:p w14:paraId="5131196B">
      <w:pPr>
        <w:spacing w:line="440" w:lineRule="exact"/>
        <w:ind w:firstLine="420"/>
        <w:rPr>
          <w:rFonts w:ascii="Times New Roman" w:hAnsi="Times New Roman"/>
          <w:color w:val="auto"/>
        </w:rPr>
      </w:pPr>
      <w:r>
        <w:rPr>
          <w:rFonts w:ascii="Times New Roman" w:hAnsi="Times New Roman"/>
          <w:color w:val="auto"/>
        </w:rPr>
        <w:t>③当单价与数量相乘不等于合价时，以单价计算为准，如果单价有明显的小数点位置差错，应以标出的合价为准，同时对单价予以修正；</w:t>
      </w:r>
    </w:p>
    <w:p w14:paraId="63A907E5">
      <w:pPr>
        <w:spacing w:line="440" w:lineRule="exact"/>
        <w:ind w:firstLine="420"/>
        <w:rPr>
          <w:rFonts w:ascii="Times New Roman" w:hAnsi="Times New Roman"/>
          <w:color w:val="auto"/>
        </w:rPr>
      </w:pPr>
      <w:r>
        <w:rPr>
          <w:rFonts w:ascii="Times New Roman" w:hAnsi="Times New Roman"/>
          <w:color w:val="auto"/>
        </w:rPr>
        <w:t>④当各子目的合价累计不等于总价时，应以各子目合价累计数为准，修正总价。</w:t>
      </w:r>
    </w:p>
    <w:p w14:paraId="66A0B6DA">
      <w:pPr>
        <w:spacing w:line="440" w:lineRule="exact"/>
        <w:ind w:firstLine="420"/>
        <w:rPr>
          <w:rFonts w:ascii="Times New Roman" w:hAnsi="Times New Roman"/>
          <w:color w:val="auto"/>
        </w:rPr>
      </w:pPr>
      <w:r>
        <w:rPr>
          <w:rFonts w:hint="eastAsia" w:ascii="Times New Roman" w:hAnsi="Times New Roman"/>
          <w:color w:val="auto"/>
        </w:rPr>
        <w:t>（2）报价</w:t>
      </w:r>
      <w:r>
        <w:rPr>
          <w:rFonts w:ascii="Times New Roman" w:hAnsi="Times New Roman"/>
          <w:color w:val="auto"/>
        </w:rPr>
        <w:t>清单中的报价有其他错误的，评审小组按以下原则对报价进行修正，修正的价格经供应商书面确认后具有约束力。供应商不接受修正价格的，评审小组应否决其报价。</w:t>
      </w:r>
    </w:p>
    <w:p w14:paraId="3E93C128">
      <w:pPr>
        <w:spacing w:line="440" w:lineRule="exact"/>
        <w:ind w:firstLine="420"/>
        <w:rPr>
          <w:rFonts w:ascii="Times New Roman" w:hAnsi="Times New Roman"/>
          <w:color w:val="auto"/>
        </w:rPr>
      </w:pPr>
      <w:r>
        <w:rPr>
          <w:rFonts w:ascii="Times New Roman" w:hAnsi="Times New Roman"/>
          <w:color w:val="auto"/>
        </w:rPr>
        <w:t>①在采购人给定的清单中漏报了某个子目的单价、合价或总额价，或所报单价、合价或总额价减少了报价范围，则漏报的子目单价、合价和总额价或单价、合价和总额价中减少的报价内容视为已含入其他子目的单价、合价和总额价之中</w:t>
      </w:r>
      <w:r>
        <w:rPr>
          <w:rFonts w:hint="eastAsia" w:ascii="Times New Roman" w:hAnsi="Times New Roman"/>
          <w:color w:val="auto"/>
        </w:rPr>
        <w:t>；</w:t>
      </w:r>
    </w:p>
    <w:p w14:paraId="4565EDF4">
      <w:pPr>
        <w:spacing w:line="440" w:lineRule="exact"/>
        <w:ind w:firstLine="420"/>
        <w:rPr>
          <w:rFonts w:ascii="Times New Roman" w:hAnsi="Times New Roman"/>
          <w:color w:val="auto"/>
        </w:rPr>
      </w:pPr>
      <w:r>
        <w:rPr>
          <w:rFonts w:ascii="Times New Roman" w:hAnsi="Times New Roman"/>
          <w:color w:val="auto"/>
        </w:rPr>
        <w:t>②在采购人给定的清单中多报了某个子目的单价、合价或总额价，或所报单价、合价或总额价增加了报价范围，则从报价中扣除多报的子目报价或子目报价中增加了报价范围的部分报价</w:t>
      </w:r>
      <w:r>
        <w:rPr>
          <w:rFonts w:hint="eastAsia" w:ascii="Times New Roman" w:hAnsi="Times New Roman"/>
          <w:color w:val="auto"/>
        </w:rPr>
        <w:t>；</w:t>
      </w:r>
    </w:p>
    <w:p w14:paraId="72667BFC">
      <w:pPr>
        <w:spacing w:line="440" w:lineRule="exact"/>
        <w:ind w:firstLine="420"/>
        <w:rPr>
          <w:rFonts w:ascii="Times New Roman" w:hAnsi="Times New Roman"/>
          <w:color w:val="auto"/>
        </w:rPr>
      </w:pPr>
      <w:r>
        <w:rPr>
          <w:rFonts w:ascii="Times New Roman" w:hAnsi="Times New Roman"/>
          <w:color w:val="auto"/>
        </w:rPr>
        <w:t>③当单价与数量的乘积与合价（金额）虽然一致，但供应商修改了该子目的数量，则其合价按采购人给定的数量乘以供应商所报单价予以修正</w:t>
      </w:r>
      <w:r>
        <w:rPr>
          <w:rFonts w:hint="eastAsia" w:ascii="Times New Roman" w:hAnsi="Times New Roman"/>
          <w:color w:val="auto"/>
        </w:rPr>
        <w:t>；</w:t>
      </w:r>
    </w:p>
    <w:p w14:paraId="60AF6449">
      <w:pPr>
        <w:spacing w:line="440" w:lineRule="exact"/>
        <w:ind w:firstLine="420"/>
        <w:rPr>
          <w:rFonts w:ascii="Times New Roman" w:hAnsi="Times New Roman"/>
          <w:color w:val="auto"/>
        </w:rPr>
      </w:pPr>
      <w:r>
        <w:rPr>
          <w:rFonts w:ascii="Times New Roman" w:hAnsi="Times New Roman"/>
          <w:color w:val="auto"/>
        </w:rPr>
        <w:t>④当各子目的合价累计不等于总价时，应以各子目合价累计数为准，修正总价。</w:t>
      </w:r>
    </w:p>
    <w:p w14:paraId="43A73A88">
      <w:pPr>
        <w:spacing w:line="440" w:lineRule="exact"/>
        <w:ind w:firstLine="420"/>
        <w:rPr>
          <w:rFonts w:ascii="Times New Roman" w:hAnsi="Times New Roman"/>
          <w:color w:val="auto"/>
        </w:rPr>
      </w:pPr>
      <w:r>
        <w:rPr>
          <w:rFonts w:ascii="Times New Roman" w:hAnsi="Times New Roman"/>
          <w:color w:val="auto"/>
        </w:rPr>
        <w:t>3.1.</w:t>
      </w:r>
      <w:r>
        <w:rPr>
          <w:rFonts w:hint="eastAsia" w:ascii="Times New Roman" w:hAnsi="Times New Roman"/>
          <w:color w:val="auto"/>
        </w:rPr>
        <w:t xml:space="preserve">4 </w:t>
      </w:r>
      <w:r>
        <w:rPr>
          <w:rFonts w:ascii="Times New Roman" w:hAnsi="Times New Roman"/>
          <w:color w:val="auto"/>
        </w:rPr>
        <w:t>修正后的最终报价若超过最高限价（如有），</w:t>
      </w:r>
      <w:r>
        <w:rPr>
          <w:rFonts w:hint="eastAsia" w:ascii="Times New Roman" w:hAnsi="Times New Roman"/>
          <w:color w:val="auto"/>
        </w:rPr>
        <w:t>评审小组</w:t>
      </w:r>
      <w:r>
        <w:rPr>
          <w:rFonts w:ascii="Times New Roman" w:hAnsi="Times New Roman"/>
          <w:color w:val="auto"/>
        </w:rPr>
        <w:t>应否决其报价。</w:t>
      </w:r>
    </w:p>
    <w:p w14:paraId="017D5079">
      <w:pPr>
        <w:spacing w:line="440" w:lineRule="exact"/>
        <w:ind w:firstLine="420"/>
        <w:rPr>
          <w:color w:val="auto"/>
        </w:rPr>
      </w:pPr>
      <w:r>
        <w:rPr>
          <w:rFonts w:ascii="Times New Roman" w:hAnsi="Times New Roman"/>
          <w:color w:val="auto"/>
        </w:rPr>
        <w:t>3.1.</w:t>
      </w:r>
      <w:r>
        <w:rPr>
          <w:rFonts w:hint="eastAsia" w:ascii="Times New Roman" w:hAnsi="Times New Roman"/>
          <w:color w:val="auto"/>
        </w:rPr>
        <w:t>5</w:t>
      </w:r>
      <w:r>
        <w:rPr>
          <w:rFonts w:hint="eastAsia" w:ascii="Times New Roman" w:hAnsi="Times New Roman"/>
          <w:color w:val="auto"/>
          <w:szCs w:val="21"/>
        </w:rPr>
        <w:t>修正后的</w:t>
      </w:r>
      <w:r>
        <w:rPr>
          <w:rFonts w:ascii="Times New Roman" w:hAnsi="Times New Roman"/>
          <w:color w:val="auto"/>
        </w:rPr>
        <w:t>最终报价参与评审价得分的计算</w:t>
      </w:r>
      <w:r>
        <w:rPr>
          <w:rFonts w:hint="eastAsia" w:ascii="Times New Roman" w:hAnsi="Times New Roman"/>
          <w:color w:val="auto"/>
        </w:rPr>
        <w:t>，并作为签订合同的依据</w:t>
      </w:r>
      <w:r>
        <w:rPr>
          <w:rFonts w:ascii="Times New Roman" w:hAnsi="Times New Roman"/>
          <w:color w:val="auto"/>
        </w:rPr>
        <w:t>。</w:t>
      </w:r>
    </w:p>
    <w:p w14:paraId="3F84D5FF">
      <w:pPr>
        <w:keepNext/>
        <w:keepLines/>
        <w:spacing w:before="120" w:after="120"/>
        <w:outlineLvl w:val="2"/>
        <w:rPr>
          <w:rFonts w:ascii="Times New Roman" w:hAnsi="Times New Roman"/>
          <w:color w:val="auto"/>
        </w:rPr>
      </w:pPr>
      <w:bookmarkStart w:id="104" w:name="_Toc161391329"/>
      <w:r>
        <w:rPr>
          <w:rFonts w:ascii="Times New Roman" w:hAnsi="Times New Roman" w:eastAsia="黑体"/>
          <w:bCs/>
          <w:color w:val="auto"/>
          <w:sz w:val="24"/>
          <w:szCs w:val="32"/>
        </w:rPr>
        <w:t>3.2 详细评审</w:t>
      </w:r>
      <w:bookmarkEnd w:id="104"/>
    </w:p>
    <w:p w14:paraId="66127FA3">
      <w:pPr>
        <w:spacing w:line="440" w:lineRule="exact"/>
        <w:ind w:firstLine="440"/>
        <w:rPr>
          <w:rFonts w:ascii="Times New Roman" w:hAnsi="Times New Roman"/>
          <w:color w:val="auto"/>
        </w:rPr>
      </w:pPr>
      <w:r>
        <w:rPr>
          <w:rFonts w:hint="eastAsia" w:ascii="Times New Roman" w:hAnsi="Times New Roman"/>
          <w:color w:val="auto"/>
        </w:rPr>
        <w:t>评审小组</w:t>
      </w:r>
      <w:r>
        <w:rPr>
          <w:rFonts w:ascii="Times New Roman" w:hAnsi="Times New Roman"/>
          <w:color w:val="auto"/>
        </w:rPr>
        <w:t>按本章第2.2款规定</w:t>
      </w:r>
      <w:r>
        <w:rPr>
          <w:rFonts w:hint="eastAsia" w:ascii="Times New Roman" w:hAnsi="Times New Roman"/>
          <w:color w:val="auto"/>
        </w:rPr>
        <w:t>进行评审价排序</w:t>
      </w:r>
      <w:r>
        <w:rPr>
          <w:rFonts w:ascii="Times New Roman" w:hAnsi="Times New Roman"/>
          <w:color w:val="auto"/>
        </w:rPr>
        <w:t>。</w:t>
      </w:r>
    </w:p>
    <w:p w14:paraId="6EB77A03">
      <w:pPr>
        <w:keepNext/>
        <w:keepLines/>
        <w:spacing w:before="120" w:after="120"/>
        <w:outlineLvl w:val="2"/>
        <w:rPr>
          <w:rFonts w:ascii="Times New Roman" w:hAnsi="Times New Roman" w:eastAsia="黑体"/>
          <w:bCs/>
          <w:color w:val="auto"/>
          <w:sz w:val="24"/>
          <w:szCs w:val="32"/>
        </w:rPr>
      </w:pPr>
      <w:bookmarkStart w:id="105" w:name="_Toc161391330"/>
      <w:r>
        <w:rPr>
          <w:rFonts w:ascii="Times New Roman" w:hAnsi="Times New Roman" w:eastAsia="黑体"/>
          <w:bCs/>
          <w:color w:val="auto"/>
          <w:sz w:val="24"/>
          <w:szCs w:val="32"/>
        </w:rPr>
        <w:t xml:space="preserve">3.3 </w:t>
      </w:r>
      <w:r>
        <w:rPr>
          <w:rFonts w:hint="eastAsia" w:ascii="Times New Roman" w:hAnsi="Times New Roman" w:eastAsia="黑体"/>
          <w:bCs/>
          <w:color w:val="auto"/>
          <w:sz w:val="24"/>
          <w:szCs w:val="32"/>
        </w:rPr>
        <w:t>否决响应文件</w:t>
      </w:r>
      <w:r>
        <w:rPr>
          <w:rFonts w:ascii="Times New Roman" w:hAnsi="Times New Roman" w:eastAsia="黑体"/>
          <w:bCs/>
          <w:color w:val="auto"/>
          <w:sz w:val="24"/>
          <w:szCs w:val="32"/>
        </w:rPr>
        <w:t>的其他情形</w:t>
      </w:r>
      <w:bookmarkEnd w:id="105"/>
    </w:p>
    <w:p w14:paraId="0FD0B137">
      <w:pPr>
        <w:spacing w:line="440" w:lineRule="exact"/>
        <w:ind w:firstLine="420"/>
        <w:rPr>
          <w:rFonts w:ascii="Times New Roman" w:hAnsi="Times New Roman"/>
          <w:color w:val="auto"/>
        </w:rPr>
      </w:pPr>
      <w:r>
        <w:rPr>
          <w:rFonts w:hint="eastAsia" w:ascii="Times New Roman" w:hAnsi="Times New Roman"/>
          <w:color w:val="auto"/>
        </w:rPr>
        <w:t>评审小组</w:t>
      </w:r>
      <w:r>
        <w:rPr>
          <w:rFonts w:ascii="Times New Roman" w:hAnsi="Times New Roman"/>
          <w:color w:val="auto"/>
        </w:rPr>
        <w:t>应对在评审过程中发现供应商存在串通报价、弄虚作假、行贿等违法行为的，</w:t>
      </w:r>
      <w:r>
        <w:rPr>
          <w:rFonts w:hint="eastAsia" w:ascii="Times New Roman" w:hAnsi="Times New Roman"/>
          <w:color w:val="auto"/>
        </w:rPr>
        <w:t>评审小组</w:t>
      </w:r>
      <w:r>
        <w:rPr>
          <w:rFonts w:ascii="Times New Roman" w:hAnsi="Times New Roman"/>
          <w:color w:val="auto"/>
        </w:rPr>
        <w:t>应否决其</w:t>
      </w:r>
      <w:r>
        <w:rPr>
          <w:rFonts w:hint="eastAsia" w:ascii="Times New Roman" w:hAnsi="Times New Roman"/>
          <w:color w:val="auto"/>
        </w:rPr>
        <w:t>响应文件</w:t>
      </w:r>
      <w:r>
        <w:rPr>
          <w:rFonts w:ascii="Times New Roman" w:hAnsi="Times New Roman"/>
          <w:color w:val="auto"/>
        </w:rPr>
        <w:t>。</w:t>
      </w:r>
    </w:p>
    <w:p w14:paraId="542B42A7">
      <w:pPr>
        <w:keepNext/>
        <w:keepLines/>
        <w:spacing w:before="120" w:after="120"/>
        <w:outlineLvl w:val="2"/>
        <w:rPr>
          <w:rFonts w:ascii="Times New Roman" w:hAnsi="Times New Roman" w:eastAsia="黑体"/>
          <w:bCs/>
          <w:color w:val="auto"/>
          <w:sz w:val="24"/>
          <w:szCs w:val="32"/>
        </w:rPr>
      </w:pPr>
      <w:bookmarkStart w:id="106" w:name="_Toc161391331"/>
      <w:r>
        <w:rPr>
          <w:rFonts w:ascii="Times New Roman" w:hAnsi="Times New Roman" w:eastAsia="黑体"/>
          <w:bCs/>
          <w:color w:val="auto"/>
          <w:sz w:val="24"/>
          <w:szCs w:val="32"/>
        </w:rPr>
        <w:t>3.4 响应文件的澄清和说明或补正</w:t>
      </w:r>
      <w:bookmarkEnd w:id="106"/>
    </w:p>
    <w:p w14:paraId="1AA8D8F0">
      <w:pPr>
        <w:spacing w:line="440" w:lineRule="exact"/>
        <w:ind w:firstLine="420"/>
        <w:rPr>
          <w:rFonts w:ascii="Times New Roman" w:hAnsi="Times New Roman"/>
          <w:color w:val="auto"/>
        </w:rPr>
      </w:pPr>
      <w:r>
        <w:rPr>
          <w:rFonts w:ascii="Times New Roman" w:hAnsi="Times New Roman"/>
          <w:color w:val="auto"/>
        </w:rPr>
        <w:t>3.4.1 在评审过程中，</w:t>
      </w:r>
      <w:r>
        <w:rPr>
          <w:rFonts w:hint="eastAsia" w:ascii="Times New Roman" w:hAnsi="Times New Roman"/>
          <w:color w:val="auto"/>
        </w:rPr>
        <w:t>评审小组</w:t>
      </w:r>
      <w:r>
        <w:rPr>
          <w:rFonts w:ascii="Times New Roman" w:hAnsi="Times New Roman"/>
          <w:color w:val="auto"/>
        </w:rPr>
        <w:t>可以书面形式要求供应商对响应文件中含义不明确、对同类问题表述不一致或者有明显文字</w:t>
      </w:r>
      <w:r>
        <w:rPr>
          <w:rFonts w:hint="eastAsia" w:ascii="Times New Roman" w:hAnsi="Times New Roman"/>
          <w:color w:val="auto"/>
        </w:rPr>
        <w:t>错误</w:t>
      </w:r>
      <w:r>
        <w:rPr>
          <w:rFonts w:ascii="Times New Roman" w:hAnsi="Times New Roman"/>
          <w:color w:val="auto"/>
        </w:rPr>
        <w:t>的内容做必要的澄清。</w:t>
      </w:r>
      <w:r>
        <w:rPr>
          <w:rFonts w:hint="eastAsia" w:ascii="Times New Roman" w:hAnsi="Times New Roman"/>
          <w:color w:val="auto"/>
        </w:rPr>
        <w:t>评审小组</w:t>
      </w:r>
      <w:r>
        <w:rPr>
          <w:rFonts w:ascii="Times New Roman" w:hAnsi="Times New Roman"/>
          <w:color w:val="auto"/>
        </w:rPr>
        <w:t>不接受供应商主动提出的澄清。</w:t>
      </w:r>
    </w:p>
    <w:p w14:paraId="5A97219D">
      <w:pPr>
        <w:spacing w:line="440" w:lineRule="exact"/>
        <w:ind w:firstLine="420"/>
        <w:rPr>
          <w:rFonts w:ascii="Times New Roman" w:hAnsi="Times New Roman"/>
          <w:color w:val="auto"/>
        </w:rPr>
      </w:pPr>
      <w:r>
        <w:rPr>
          <w:rFonts w:ascii="Times New Roman" w:hAnsi="Times New Roman"/>
          <w:color w:val="auto"/>
        </w:rPr>
        <w:t>3.4.2 澄清不得超出响应文件的范围且不得改变响应文件的实质性内容，并构成响应文件的组成部分。</w:t>
      </w:r>
    </w:p>
    <w:p w14:paraId="72F1673D">
      <w:pPr>
        <w:keepNext/>
        <w:keepLines/>
        <w:spacing w:before="120" w:after="120"/>
        <w:outlineLvl w:val="2"/>
        <w:rPr>
          <w:rFonts w:ascii="Times New Roman" w:hAnsi="Times New Roman" w:eastAsia="黑体"/>
          <w:bCs/>
          <w:color w:val="auto"/>
          <w:sz w:val="24"/>
          <w:szCs w:val="32"/>
        </w:rPr>
      </w:pPr>
      <w:bookmarkStart w:id="107" w:name="_Toc161391332"/>
      <w:r>
        <w:rPr>
          <w:rFonts w:ascii="Times New Roman" w:hAnsi="Times New Roman" w:eastAsia="黑体"/>
          <w:bCs/>
          <w:color w:val="auto"/>
          <w:sz w:val="24"/>
          <w:szCs w:val="32"/>
        </w:rPr>
        <w:t>3.5 评审结果</w:t>
      </w:r>
      <w:bookmarkEnd w:id="107"/>
    </w:p>
    <w:p w14:paraId="32127BE2">
      <w:pPr>
        <w:spacing w:line="440" w:lineRule="exact"/>
        <w:ind w:firstLine="420"/>
        <w:rPr>
          <w:rFonts w:ascii="Times New Roman" w:hAnsi="Times New Roman"/>
          <w:color w:val="auto"/>
        </w:rPr>
      </w:pPr>
      <w:r>
        <w:rPr>
          <w:rFonts w:hint="eastAsia" w:ascii="Times New Roman" w:hAnsi="Times New Roman"/>
          <w:color w:val="auto"/>
        </w:rPr>
        <w:t>评审小组</w:t>
      </w:r>
      <w:r>
        <w:rPr>
          <w:rFonts w:ascii="Times New Roman" w:hAnsi="Times New Roman"/>
          <w:color w:val="auto"/>
        </w:rPr>
        <w:t>完成评审后，应当向采购人提交评审报告。评审报告应当如实记载以下内容：</w:t>
      </w:r>
    </w:p>
    <w:p w14:paraId="0A275629">
      <w:pPr>
        <w:spacing w:line="440" w:lineRule="exact"/>
        <w:ind w:firstLine="420"/>
        <w:rPr>
          <w:rFonts w:ascii="Times New Roman" w:hAnsi="Times New Roman"/>
          <w:color w:val="auto"/>
        </w:rPr>
      </w:pPr>
      <w:bookmarkStart w:id="108" w:name="_Toc12245_WPSOffice_Level2"/>
      <w:bookmarkStart w:id="109" w:name="_Toc218_WPSOffice_Level2"/>
      <w:bookmarkStart w:id="110" w:name="_Toc21524_WPSOffice_Level2"/>
      <w:r>
        <w:rPr>
          <w:rFonts w:ascii="Times New Roman" w:hAnsi="Times New Roman"/>
          <w:color w:val="auto"/>
        </w:rPr>
        <w:t>（一）采购项目基本情况</w:t>
      </w:r>
      <w:bookmarkEnd w:id="108"/>
      <w:bookmarkEnd w:id="109"/>
      <w:bookmarkEnd w:id="110"/>
    </w:p>
    <w:p w14:paraId="22211A32">
      <w:pPr>
        <w:spacing w:line="440" w:lineRule="exact"/>
        <w:ind w:firstLine="420"/>
        <w:rPr>
          <w:rFonts w:ascii="Times New Roman" w:hAnsi="Times New Roman"/>
          <w:color w:val="auto"/>
        </w:rPr>
      </w:pPr>
      <w:bookmarkStart w:id="111" w:name="_Toc5856_WPSOffice_Level2"/>
      <w:bookmarkStart w:id="112" w:name="_Toc8414_WPSOffice_Level2"/>
      <w:bookmarkStart w:id="113" w:name="_Toc31322_WPSOffice_Level2"/>
      <w:r>
        <w:rPr>
          <w:rFonts w:ascii="Times New Roman" w:hAnsi="Times New Roman"/>
          <w:color w:val="auto"/>
        </w:rPr>
        <w:t>（二）采购过程回顾</w:t>
      </w:r>
      <w:bookmarkEnd w:id="111"/>
      <w:bookmarkEnd w:id="112"/>
      <w:bookmarkEnd w:id="113"/>
    </w:p>
    <w:p w14:paraId="6AF6A596">
      <w:pPr>
        <w:spacing w:line="440" w:lineRule="exact"/>
        <w:ind w:firstLine="420"/>
        <w:rPr>
          <w:rFonts w:ascii="Times New Roman" w:hAnsi="Times New Roman"/>
          <w:color w:val="auto"/>
        </w:rPr>
      </w:pPr>
      <w:bookmarkStart w:id="114" w:name="_Toc2932_WPSOffice_Level2"/>
      <w:bookmarkStart w:id="115" w:name="_Toc1346_WPSOffice_Level2"/>
      <w:bookmarkStart w:id="116" w:name="_Toc15620_WPSOffice_Level2"/>
      <w:r>
        <w:rPr>
          <w:rFonts w:ascii="Times New Roman" w:hAnsi="Times New Roman"/>
          <w:color w:val="auto"/>
        </w:rPr>
        <w:t>（三）评审小组成员名单</w:t>
      </w:r>
      <w:bookmarkEnd w:id="114"/>
      <w:bookmarkEnd w:id="115"/>
      <w:bookmarkEnd w:id="116"/>
    </w:p>
    <w:p w14:paraId="133B58E4">
      <w:pPr>
        <w:spacing w:line="440" w:lineRule="exact"/>
        <w:ind w:firstLine="420"/>
        <w:rPr>
          <w:rFonts w:ascii="Times New Roman" w:hAnsi="Times New Roman"/>
          <w:color w:val="auto"/>
        </w:rPr>
      </w:pPr>
      <w:bookmarkStart w:id="117" w:name="_Toc14207_WPSOffice_Level2"/>
      <w:bookmarkStart w:id="118" w:name="_Toc14464_WPSOffice_Level2"/>
      <w:bookmarkStart w:id="119" w:name="_Toc32316_WPSOffice_Level2"/>
      <w:r>
        <w:rPr>
          <w:rFonts w:ascii="Times New Roman" w:hAnsi="Times New Roman"/>
          <w:color w:val="auto"/>
        </w:rPr>
        <w:t>（四）询比评审工作</w:t>
      </w:r>
      <w:bookmarkEnd w:id="117"/>
      <w:bookmarkEnd w:id="118"/>
      <w:bookmarkEnd w:id="119"/>
    </w:p>
    <w:p w14:paraId="66CDDDCB">
      <w:pPr>
        <w:spacing w:line="440" w:lineRule="exact"/>
        <w:ind w:firstLine="420"/>
        <w:rPr>
          <w:rFonts w:ascii="Times New Roman" w:hAnsi="Times New Roman"/>
          <w:color w:val="auto"/>
        </w:rPr>
      </w:pPr>
      <w:r>
        <w:rPr>
          <w:rFonts w:ascii="Times New Roman" w:hAnsi="Times New Roman"/>
          <w:color w:val="auto"/>
        </w:rPr>
        <w:t>1</w:t>
      </w:r>
      <w:r>
        <w:rPr>
          <w:rFonts w:hint="eastAsia" w:ascii="Times New Roman" w:hAnsi="Times New Roman"/>
          <w:color w:val="auto"/>
        </w:rPr>
        <w:t>.</w:t>
      </w:r>
      <w:r>
        <w:rPr>
          <w:rFonts w:ascii="Times New Roman" w:hAnsi="Times New Roman"/>
          <w:color w:val="auto"/>
        </w:rPr>
        <w:t>评审办法</w:t>
      </w:r>
    </w:p>
    <w:p w14:paraId="02C2B314">
      <w:pPr>
        <w:spacing w:line="440" w:lineRule="exact"/>
        <w:ind w:firstLine="420"/>
        <w:rPr>
          <w:rFonts w:ascii="Times New Roman" w:hAnsi="Times New Roman"/>
          <w:color w:val="auto"/>
        </w:rPr>
      </w:pPr>
      <w:r>
        <w:rPr>
          <w:rFonts w:ascii="Times New Roman" w:hAnsi="Times New Roman"/>
          <w:color w:val="auto"/>
        </w:rPr>
        <w:t>2</w:t>
      </w:r>
      <w:r>
        <w:rPr>
          <w:rFonts w:hint="eastAsia" w:ascii="Times New Roman" w:hAnsi="Times New Roman"/>
          <w:color w:val="auto"/>
        </w:rPr>
        <w:t>.</w:t>
      </w:r>
      <w:r>
        <w:rPr>
          <w:rFonts w:ascii="Times New Roman" w:hAnsi="Times New Roman"/>
          <w:color w:val="auto"/>
        </w:rPr>
        <w:t>初步评审情况（资格审查、形式性审查、响应性审查）</w:t>
      </w:r>
    </w:p>
    <w:p w14:paraId="025CC330">
      <w:pPr>
        <w:spacing w:line="440" w:lineRule="exact"/>
        <w:ind w:firstLine="420"/>
        <w:rPr>
          <w:rFonts w:ascii="Times New Roman" w:hAnsi="Times New Roman"/>
          <w:color w:val="auto"/>
        </w:rPr>
      </w:pPr>
      <w:r>
        <w:rPr>
          <w:rFonts w:ascii="Times New Roman" w:hAnsi="Times New Roman"/>
          <w:color w:val="auto"/>
        </w:rPr>
        <w:t>3</w:t>
      </w:r>
      <w:r>
        <w:rPr>
          <w:rFonts w:hint="eastAsia" w:ascii="Times New Roman" w:hAnsi="Times New Roman"/>
          <w:color w:val="auto"/>
        </w:rPr>
        <w:t>.详细</w:t>
      </w:r>
      <w:r>
        <w:rPr>
          <w:rFonts w:ascii="Times New Roman" w:hAnsi="Times New Roman"/>
          <w:color w:val="auto"/>
        </w:rPr>
        <w:t>评审情况</w:t>
      </w:r>
      <w:r>
        <w:rPr>
          <w:rFonts w:hint="eastAsia" w:ascii="Times New Roman" w:hAnsi="Times New Roman"/>
          <w:color w:val="auto"/>
        </w:rPr>
        <w:t>（供应商的评审价评审情况）</w:t>
      </w:r>
    </w:p>
    <w:p w14:paraId="3BB8AF67">
      <w:pPr>
        <w:spacing w:line="440" w:lineRule="exact"/>
        <w:ind w:firstLine="420"/>
        <w:rPr>
          <w:rFonts w:ascii="Times New Roman" w:hAnsi="Times New Roman"/>
          <w:color w:val="auto"/>
        </w:rPr>
      </w:pPr>
      <w:r>
        <w:rPr>
          <w:rFonts w:ascii="Times New Roman" w:hAnsi="Times New Roman"/>
          <w:color w:val="auto"/>
        </w:rPr>
        <w:t>4</w:t>
      </w:r>
      <w:r>
        <w:rPr>
          <w:rFonts w:hint="eastAsia" w:ascii="Times New Roman" w:hAnsi="Times New Roman"/>
          <w:color w:val="auto"/>
        </w:rPr>
        <w:t>.</w:t>
      </w:r>
      <w:r>
        <w:rPr>
          <w:rFonts w:ascii="Times New Roman" w:hAnsi="Times New Roman"/>
          <w:color w:val="auto"/>
        </w:rPr>
        <w:t>否决的供应商名单以及否决理由（如有）</w:t>
      </w:r>
    </w:p>
    <w:p w14:paraId="372DDE47">
      <w:pPr>
        <w:spacing w:line="440" w:lineRule="exact"/>
        <w:ind w:firstLine="420"/>
        <w:rPr>
          <w:rFonts w:ascii="Times New Roman" w:hAnsi="Times New Roman"/>
          <w:color w:val="auto"/>
        </w:rPr>
      </w:pPr>
      <w:r>
        <w:rPr>
          <w:rFonts w:ascii="Times New Roman" w:hAnsi="Times New Roman"/>
          <w:color w:val="auto"/>
        </w:rPr>
        <w:t>5</w:t>
      </w:r>
      <w:r>
        <w:rPr>
          <w:rFonts w:hint="eastAsia" w:ascii="Times New Roman" w:hAnsi="Times New Roman"/>
          <w:color w:val="auto"/>
        </w:rPr>
        <w:t>.</w:t>
      </w:r>
      <w:r>
        <w:rPr>
          <w:rFonts w:ascii="Times New Roman" w:hAnsi="Times New Roman"/>
          <w:color w:val="auto"/>
        </w:rPr>
        <w:t>推荐候选供应商排序</w:t>
      </w:r>
    </w:p>
    <w:p w14:paraId="75B51026">
      <w:pPr>
        <w:spacing w:line="440" w:lineRule="exact"/>
        <w:ind w:firstLine="420"/>
        <w:rPr>
          <w:rFonts w:ascii="Times New Roman" w:hAnsi="Times New Roman"/>
          <w:color w:val="auto"/>
        </w:rPr>
      </w:pPr>
      <w:bookmarkStart w:id="120" w:name="_Toc13397_WPSOffice_Level2"/>
      <w:bookmarkStart w:id="121" w:name="_Toc3913_WPSOffice_Level2"/>
      <w:bookmarkStart w:id="122" w:name="_Toc5114_WPSOffice_Level2"/>
      <w:r>
        <w:rPr>
          <w:rFonts w:ascii="Times New Roman" w:hAnsi="Times New Roman"/>
          <w:color w:val="auto"/>
        </w:rPr>
        <w:t>（五）需要说明的其他事项</w:t>
      </w:r>
      <w:bookmarkEnd w:id="120"/>
      <w:bookmarkEnd w:id="121"/>
      <w:bookmarkEnd w:id="122"/>
    </w:p>
    <w:p w14:paraId="3E397126">
      <w:pPr>
        <w:spacing w:line="440" w:lineRule="exact"/>
        <w:ind w:firstLine="420"/>
        <w:rPr>
          <w:rFonts w:ascii="Times New Roman" w:hAnsi="Times New Roman"/>
          <w:color w:val="auto"/>
        </w:rPr>
      </w:pPr>
      <w:bookmarkStart w:id="123" w:name="_Toc23800_WPSOffice_Level2"/>
      <w:bookmarkStart w:id="124" w:name="_Toc3031_WPSOffice_Level2"/>
      <w:bookmarkStart w:id="125" w:name="_Toc8934_WPSOffice_Level2"/>
      <w:r>
        <w:rPr>
          <w:rFonts w:ascii="Times New Roman" w:hAnsi="Times New Roman"/>
          <w:color w:val="auto"/>
        </w:rPr>
        <w:t>（六）评审附表</w:t>
      </w:r>
      <w:bookmarkEnd w:id="123"/>
      <w:bookmarkEnd w:id="124"/>
      <w:bookmarkEnd w:id="125"/>
    </w:p>
    <w:p w14:paraId="3CB695A6">
      <w:pPr>
        <w:spacing w:line="440" w:lineRule="exact"/>
        <w:ind w:firstLine="420"/>
        <w:rPr>
          <w:rFonts w:ascii="Times New Roman" w:hAnsi="Times New Roman"/>
          <w:color w:val="auto"/>
        </w:rPr>
      </w:pPr>
      <w:r>
        <w:rPr>
          <w:rFonts w:ascii="Times New Roman" w:hAnsi="Times New Roman"/>
          <w:color w:val="auto"/>
        </w:rPr>
        <w:t>1</w:t>
      </w:r>
      <w:r>
        <w:rPr>
          <w:rFonts w:hint="eastAsia" w:ascii="Times New Roman" w:hAnsi="Times New Roman"/>
          <w:color w:val="auto"/>
        </w:rPr>
        <w:t>.</w:t>
      </w:r>
      <w:r>
        <w:rPr>
          <w:rFonts w:ascii="Times New Roman" w:hAnsi="Times New Roman"/>
          <w:color w:val="auto"/>
        </w:rPr>
        <w:t>响应文件开启记录表</w:t>
      </w:r>
    </w:p>
    <w:p w14:paraId="4397C8C9">
      <w:pPr>
        <w:spacing w:line="440" w:lineRule="exact"/>
        <w:ind w:firstLine="420"/>
        <w:rPr>
          <w:rFonts w:ascii="Times New Roman" w:hAnsi="Times New Roman"/>
          <w:color w:val="auto"/>
        </w:rPr>
      </w:pPr>
      <w:r>
        <w:rPr>
          <w:rFonts w:ascii="Times New Roman" w:hAnsi="Times New Roman"/>
          <w:color w:val="auto"/>
        </w:rPr>
        <w:t>2</w:t>
      </w:r>
      <w:r>
        <w:rPr>
          <w:rFonts w:hint="eastAsia" w:ascii="Times New Roman" w:hAnsi="Times New Roman"/>
          <w:color w:val="auto"/>
        </w:rPr>
        <w:t>.</w:t>
      </w:r>
      <w:r>
        <w:rPr>
          <w:rFonts w:ascii="Times New Roman" w:hAnsi="Times New Roman"/>
          <w:color w:val="auto"/>
        </w:rPr>
        <w:t>评审表格</w:t>
      </w:r>
    </w:p>
    <w:p w14:paraId="30FEABCD">
      <w:pPr>
        <w:rPr>
          <w:rFonts w:ascii="Times New Roman" w:hAnsi="Times New Roman"/>
          <w:color w:val="auto"/>
        </w:rPr>
      </w:pPr>
      <w:r>
        <w:rPr>
          <w:rFonts w:ascii="Times New Roman" w:hAnsi="Times New Roman"/>
          <w:color w:val="auto"/>
        </w:rPr>
        <w:br w:type="page"/>
      </w:r>
    </w:p>
    <w:p w14:paraId="351196B7">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7ECFA9A4">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7FABFD7F">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0428FA56">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331858D6">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4814C7EF">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6046EC85">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1BEC9C36">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5F317AB0">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083C9F30">
      <w:pPr>
        <w:pStyle w:val="3"/>
        <w:numPr>
          <w:ilvl w:val="0"/>
          <w:numId w:val="0"/>
        </w:numPr>
        <w:spacing w:beforeLines="0" w:afterLines="0" w:line="500" w:lineRule="atLeast"/>
        <w:rPr>
          <w:rFonts w:ascii="Times New Roman" w:hAnsi="Times New Roman" w:eastAsia="方正小标宋简体"/>
          <w:b w:val="0"/>
          <w:bCs w:val="0"/>
          <w:color w:val="auto"/>
          <w:sz w:val="44"/>
        </w:rPr>
      </w:pPr>
    </w:p>
    <w:p w14:paraId="18B3A179">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sectPr>
          <w:footerReference r:id="rId6" w:type="default"/>
          <w:pgSz w:w="11906" w:h="16838"/>
          <w:pgMar w:top="1440" w:right="1800" w:bottom="1440" w:left="1800" w:header="851" w:footer="992" w:gutter="0"/>
          <w:cols w:space="720" w:num="1"/>
          <w:docGrid w:type="lines" w:linePitch="312" w:charSpace="0"/>
        </w:sectPr>
      </w:pPr>
      <w:bookmarkStart w:id="126" w:name="_Toc32284"/>
      <w:r>
        <w:rPr>
          <w:rFonts w:ascii="Times New Roman" w:hAnsi="Times New Roman" w:eastAsia="方正小标宋_GBK"/>
          <w:b w:val="0"/>
          <w:bCs w:val="0"/>
          <w:color w:val="auto"/>
          <w:sz w:val="40"/>
          <w:szCs w:val="40"/>
        </w:rPr>
        <w:t xml:space="preserve">第四章 </w:t>
      </w:r>
      <w:bookmarkEnd w:id="5"/>
      <w:bookmarkStart w:id="127" w:name="_Toc10725"/>
      <w:r>
        <w:rPr>
          <w:rFonts w:ascii="Times New Roman" w:hAnsi="Times New Roman" w:eastAsia="方正小标宋_GBK"/>
          <w:b w:val="0"/>
          <w:bCs w:val="0"/>
          <w:color w:val="auto"/>
          <w:sz w:val="40"/>
          <w:szCs w:val="40"/>
        </w:rPr>
        <w:t xml:space="preserve"> 合同内容</w:t>
      </w:r>
      <w:bookmarkEnd w:id="126"/>
      <w:bookmarkEnd w:id="127"/>
    </w:p>
    <w:p w14:paraId="3E4658CD">
      <w:pPr>
        <w:tabs>
          <w:tab w:val="left" w:pos="5245"/>
        </w:tabs>
        <w:spacing w:line="360" w:lineRule="auto"/>
        <w:jc w:val="center"/>
        <w:outlineLvl w:val="0"/>
        <w:rPr>
          <w:rFonts w:ascii="Times New Roman" w:hAnsi="Times New Roman"/>
          <w:color w:val="auto"/>
          <w:sz w:val="24"/>
        </w:rPr>
      </w:pPr>
      <w:bookmarkStart w:id="128" w:name="_Toc24739_WPSOffice_Level1"/>
      <w:r>
        <w:rPr>
          <w:rFonts w:hint="eastAsia" w:ascii="Times New Roman" w:hAnsi="Times New Roman"/>
          <w:color w:val="auto"/>
          <w:sz w:val="24"/>
        </w:rPr>
        <w:t xml:space="preserve"> </w:t>
      </w:r>
    </w:p>
    <w:p w14:paraId="2BC99301">
      <w:pPr>
        <w:pStyle w:val="2"/>
        <w:rPr>
          <w:color w:val="auto"/>
        </w:rPr>
      </w:pPr>
    </w:p>
    <w:p w14:paraId="6F1961BB">
      <w:pPr>
        <w:tabs>
          <w:tab w:val="left" w:pos="5245"/>
        </w:tabs>
        <w:spacing w:line="360" w:lineRule="auto"/>
        <w:jc w:val="center"/>
        <w:outlineLvl w:val="0"/>
        <w:rPr>
          <w:rFonts w:ascii="Times New Roman" w:hAnsi="Times New Roman" w:eastAsia="仿宋"/>
          <w:color w:val="auto"/>
          <w:kern w:val="44"/>
          <w:sz w:val="40"/>
          <w:szCs w:val="40"/>
        </w:rPr>
      </w:pPr>
    </w:p>
    <w:p w14:paraId="3BC73101">
      <w:pPr>
        <w:tabs>
          <w:tab w:val="left" w:pos="5245"/>
        </w:tabs>
        <w:spacing w:line="360" w:lineRule="auto"/>
        <w:jc w:val="center"/>
        <w:outlineLvl w:val="0"/>
        <w:rPr>
          <w:rFonts w:ascii="Times New Roman" w:hAnsi="Times New Roman" w:eastAsia="仿宋"/>
          <w:color w:val="auto"/>
          <w:kern w:val="44"/>
          <w:sz w:val="40"/>
          <w:szCs w:val="40"/>
        </w:rPr>
      </w:pPr>
    </w:p>
    <w:p w14:paraId="63AFC6C2">
      <w:pPr>
        <w:tabs>
          <w:tab w:val="left" w:pos="5245"/>
        </w:tabs>
        <w:spacing w:line="360" w:lineRule="auto"/>
        <w:jc w:val="center"/>
        <w:outlineLvl w:val="0"/>
        <w:rPr>
          <w:rFonts w:ascii="Times New Roman" w:hAnsi="Times New Roman" w:eastAsia="仿宋"/>
          <w:color w:val="auto"/>
          <w:sz w:val="56"/>
          <w:szCs w:val="56"/>
        </w:rPr>
      </w:pPr>
      <w:bookmarkStart w:id="129" w:name="_Toc27761"/>
      <w:r>
        <w:rPr>
          <w:rFonts w:hint="eastAsia" w:ascii="Times New Roman" w:hAnsi="Times New Roman" w:eastAsia="仿宋"/>
          <w:color w:val="auto"/>
          <w:kern w:val="44"/>
          <w:sz w:val="48"/>
          <w:szCs w:val="48"/>
        </w:rPr>
        <w:t>深圳安联尚璟府项目阶段性软装家装类框架采购（2025年度）</w:t>
      </w:r>
      <w:r>
        <w:rPr>
          <w:rFonts w:ascii="Times New Roman" w:hAnsi="Times New Roman" w:eastAsia="仿宋"/>
          <w:color w:val="auto"/>
          <w:kern w:val="44"/>
          <w:sz w:val="48"/>
          <w:szCs w:val="48"/>
        </w:rPr>
        <w:t>合同</w:t>
      </w:r>
      <w:bookmarkEnd w:id="129"/>
    </w:p>
    <w:p w14:paraId="6968E0AF">
      <w:pPr>
        <w:spacing w:line="360" w:lineRule="auto"/>
        <w:jc w:val="center"/>
        <w:rPr>
          <w:rFonts w:ascii="Times New Roman" w:hAnsi="Times New Roman" w:eastAsia="仿宋"/>
          <w:color w:val="auto"/>
          <w:sz w:val="48"/>
          <w:szCs w:val="48"/>
        </w:rPr>
      </w:pPr>
      <w:r>
        <w:rPr>
          <w:rFonts w:ascii="Times New Roman" w:hAnsi="Times New Roman" w:eastAsia="仿宋"/>
          <w:color w:val="auto"/>
          <w:sz w:val="30"/>
          <w:szCs w:val="30"/>
        </w:rPr>
        <w:t xml:space="preserve"> </w:t>
      </w:r>
    </w:p>
    <w:p w14:paraId="77807C1A">
      <w:pPr>
        <w:spacing w:line="360" w:lineRule="auto"/>
        <w:ind w:firstLine="3024" w:firstLineChars="1400"/>
        <w:rPr>
          <w:rFonts w:ascii="Times New Roman" w:hAnsi="Times New Roman" w:eastAsia="仿宋"/>
          <w:color w:val="auto"/>
          <w:szCs w:val="21"/>
        </w:rPr>
      </w:pPr>
      <w:r>
        <w:rPr>
          <w:rFonts w:hint="eastAsia" w:ascii="仿宋" w:hAnsi="仿宋" w:eastAsia="仿宋" w:cs="仿宋"/>
          <w:b/>
          <w:color w:val="auto"/>
          <w:w w:val="90"/>
          <w:sz w:val="24"/>
        </w:rPr>
        <w:t>合同编号：</w:t>
      </w:r>
    </w:p>
    <w:p w14:paraId="1725EC2E">
      <w:pPr>
        <w:spacing w:line="360" w:lineRule="auto"/>
        <w:rPr>
          <w:rFonts w:ascii="Times New Roman" w:hAnsi="Times New Roman" w:eastAsia="仿宋"/>
          <w:color w:val="auto"/>
          <w:szCs w:val="21"/>
        </w:rPr>
      </w:pPr>
    </w:p>
    <w:p w14:paraId="24E26892">
      <w:pPr>
        <w:spacing w:line="360" w:lineRule="auto"/>
        <w:rPr>
          <w:rFonts w:ascii="Times New Roman" w:hAnsi="Times New Roman" w:eastAsia="仿宋"/>
          <w:color w:val="auto"/>
          <w:szCs w:val="21"/>
        </w:rPr>
      </w:pPr>
    </w:p>
    <w:p w14:paraId="1CD263EF">
      <w:pPr>
        <w:spacing w:line="360" w:lineRule="auto"/>
        <w:rPr>
          <w:rFonts w:ascii="Times New Roman" w:hAnsi="Times New Roman" w:eastAsia="仿宋"/>
          <w:color w:val="auto"/>
          <w:szCs w:val="21"/>
        </w:rPr>
      </w:pPr>
    </w:p>
    <w:p w14:paraId="4E5098D2">
      <w:pPr>
        <w:spacing w:line="360" w:lineRule="auto"/>
        <w:rPr>
          <w:rFonts w:ascii="Times New Roman" w:hAnsi="Times New Roman" w:eastAsia="仿宋"/>
          <w:color w:val="auto"/>
          <w:szCs w:val="21"/>
        </w:rPr>
      </w:pPr>
    </w:p>
    <w:p w14:paraId="050397B2">
      <w:pPr>
        <w:spacing w:line="360" w:lineRule="auto"/>
        <w:rPr>
          <w:rFonts w:ascii="Times New Roman" w:hAnsi="Times New Roman" w:eastAsia="仿宋"/>
          <w:color w:val="auto"/>
          <w:szCs w:val="21"/>
        </w:rPr>
      </w:pPr>
    </w:p>
    <w:p w14:paraId="75DF2E40">
      <w:pPr>
        <w:ind w:firstLine="420"/>
        <w:rPr>
          <w:rFonts w:ascii="Times New Roman" w:hAnsi="Times New Roman"/>
          <w:color w:val="auto"/>
          <w:szCs w:val="20"/>
        </w:rPr>
      </w:pPr>
    </w:p>
    <w:p w14:paraId="0DFE3BFF">
      <w:pPr>
        <w:spacing w:line="360" w:lineRule="auto"/>
        <w:rPr>
          <w:rFonts w:ascii="Times New Roman" w:hAnsi="Times New Roman" w:eastAsia="仿宋"/>
          <w:color w:val="auto"/>
          <w:szCs w:val="21"/>
        </w:rPr>
      </w:pPr>
    </w:p>
    <w:p w14:paraId="6D506B18">
      <w:pPr>
        <w:rPr>
          <w:rFonts w:ascii="Times New Roman" w:hAnsi="Times New Roman" w:eastAsia="仿宋"/>
          <w:color w:val="auto"/>
          <w:szCs w:val="21"/>
        </w:rPr>
      </w:pPr>
    </w:p>
    <w:p w14:paraId="4129602B">
      <w:pPr>
        <w:rPr>
          <w:rFonts w:ascii="Times New Roman" w:hAnsi="Times New Roman" w:eastAsia="仿宋"/>
          <w:color w:val="auto"/>
          <w:szCs w:val="21"/>
        </w:rPr>
      </w:pPr>
    </w:p>
    <w:p w14:paraId="6B5B338D">
      <w:pPr>
        <w:ind w:firstLine="420"/>
        <w:rPr>
          <w:rFonts w:ascii="Times New Roman" w:hAnsi="Times New Roman" w:eastAsia="仿宋"/>
          <w:color w:val="auto"/>
          <w:szCs w:val="21"/>
        </w:rPr>
      </w:pPr>
    </w:p>
    <w:p w14:paraId="24D59193">
      <w:pPr>
        <w:rPr>
          <w:rFonts w:ascii="Times New Roman" w:hAnsi="Times New Roman"/>
          <w:color w:val="auto"/>
        </w:rPr>
      </w:pPr>
    </w:p>
    <w:p w14:paraId="303E76DD">
      <w:pPr>
        <w:spacing w:line="360" w:lineRule="auto"/>
        <w:ind w:firstLine="1512" w:firstLineChars="600"/>
        <w:jc w:val="center"/>
        <w:rPr>
          <w:rFonts w:ascii="Times New Roman" w:hAnsi="Times New Roman" w:eastAsia="仿宋"/>
          <w:b/>
          <w:color w:val="auto"/>
          <w:w w:val="90"/>
          <w:sz w:val="28"/>
          <w:szCs w:val="28"/>
        </w:rPr>
      </w:pPr>
    </w:p>
    <w:p w14:paraId="6762DA8B">
      <w:pPr>
        <w:spacing w:line="360" w:lineRule="auto"/>
        <w:ind w:firstLine="1764" w:firstLineChars="700"/>
        <w:rPr>
          <w:rFonts w:ascii="Times New Roman" w:hAnsi="Times New Roman" w:eastAsia="仿宋"/>
          <w:color w:val="auto"/>
          <w:w w:val="90"/>
          <w:sz w:val="28"/>
          <w:szCs w:val="28"/>
        </w:rPr>
      </w:pPr>
      <w:r>
        <w:rPr>
          <w:rFonts w:ascii="Times New Roman" w:hAnsi="Times New Roman" w:eastAsia="仿宋"/>
          <w:b/>
          <w:color w:val="auto"/>
          <w:w w:val="90"/>
          <w:sz w:val="28"/>
          <w:szCs w:val="28"/>
        </w:rPr>
        <w:t>甲  方：</w:t>
      </w:r>
      <w:r>
        <w:rPr>
          <w:rFonts w:hint="eastAsia" w:ascii="Times New Roman" w:hAnsi="Times New Roman" w:eastAsia="仿宋"/>
          <w:color w:val="auto"/>
          <w:w w:val="90"/>
          <w:sz w:val="28"/>
          <w:szCs w:val="28"/>
          <w:u w:val="single"/>
        </w:rPr>
        <w:t>深圳市安之联置业有限公司</w:t>
      </w:r>
    </w:p>
    <w:p w14:paraId="5666F3AA">
      <w:pPr>
        <w:spacing w:line="360" w:lineRule="auto"/>
        <w:ind w:firstLine="1764" w:firstLineChars="700"/>
        <w:rPr>
          <w:rFonts w:ascii="Times New Roman" w:hAnsi="Times New Roman" w:eastAsia="仿宋"/>
          <w:b/>
          <w:color w:val="auto"/>
          <w:w w:val="90"/>
          <w:sz w:val="28"/>
          <w:szCs w:val="28"/>
          <w:u w:val="single"/>
        </w:rPr>
      </w:pPr>
      <w:r>
        <w:rPr>
          <w:rFonts w:ascii="Times New Roman" w:hAnsi="Times New Roman" w:eastAsia="仿宋"/>
          <w:b/>
          <w:color w:val="auto"/>
          <w:w w:val="90"/>
          <w:sz w:val="28"/>
          <w:szCs w:val="28"/>
        </w:rPr>
        <w:t>乙  方：</w:t>
      </w:r>
      <w:r>
        <w:rPr>
          <w:rFonts w:ascii="Times New Roman" w:hAnsi="Times New Roman" w:eastAsia="仿宋"/>
          <w:bCs/>
          <w:color w:val="auto"/>
          <w:w w:val="90"/>
          <w:sz w:val="28"/>
          <w:szCs w:val="28"/>
          <w:u w:val="single"/>
        </w:rPr>
        <w:t xml:space="preserve">                       </w:t>
      </w:r>
      <w:r>
        <w:rPr>
          <w:rFonts w:hint="eastAsia" w:ascii="Times New Roman" w:hAnsi="Times New Roman" w:eastAsia="仿宋"/>
          <w:bCs/>
          <w:color w:val="auto"/>
          <w:w w:val="90"/>
          <w:sz w:val="28"/>
          <w:szCs w:val="28"/>
          <w:u w:val="single"/>
        </w:rPr>
        <w:t xml:space="preserve"> </w:t>
      </w:r>
    </w:p>
    <w:p w14:paraId="469EB38C">
      <w:pPr>
        <w:spacing w:line="360" w:lineRule="auto"/>
        <w:ind w:firstLine="1764" w:firstLineChars="700"/>
        <w:rPr>
          <w:rFonts w:ascii="Times New Roman" w:hAnsi="Times New Roman" w:eastAsia="仿宋"/>
          <w:color w:val="auto"/>
          <w:sz w:val="28"/>
          <w:szCs w:val="28"/>
          <w:u w:val="single"/>
        </w:rPr>
      </w:pPr>
      <w:r>
        <w:rPr>
          <w:rFonts w:ascii="Times New Roman" w:hAnsi="Times New Roman" w:eastAsia="仿宋"/>
          <w:b/>
          <w:color w:val="auto"/>
          <w:w w:val="90"/>
          <w:sz w:val="28"/>
          <w:szCs w:val="28"/>
        </w:rPr>
        <w:t>日  期：</w:t>
      </w:r>
      <w:r>
        <w:rPr>
          <w:rFonts w:ascii="Times New Roman" w:hAnsi="Times New Roman" w:eastAsia="仿宋"/>
          <w:color w:val="auto"/>
          <w:sz w:val="28"/>
          <w:szCs w:val="28"/>
          <w:u w:val="single"/>
        </w:rPr>
        <w:t xml:space="preserve">                     </w:t>
      </w:r>
      <w:r>
        <w:rPr>
          <w:rFonts w:hint="eastAsia" w:ascii="Times New Roman" w:hAnsi="Times New Roman" w:eastAsia="仿宋"/>
          <w:color w:val="auto"/>
          <w:sz w:val="28"/>
          <w:szCs w:val="28"/>
          <w:u w:val="single"/>
        </w:rPr>
        <w:t xml:space="preserve"> </w:t>
      </w:r>
    </w:p>
    <w:p w14:paraId="515AE630">
      <w:pPr>
        <w:spacing w:after="120"/>
        <w:rPr>
          <w:rFonts w:ascii="Times New Roman" w:hAnsi="Times New Roman" w:eastAsia="仿宋"/>
          <w:color w:val="auto"/>
          <w:sz w:val="28"/>
          <w:szCs w:val="28"/>
          <w:u w:val="single"/>
        </w:rPr>
      </w:pPr>
    </w:p>
    <w:p w14:paraId="273DA198">
      <w:pPr>
        <w:spacing w:after="120"/>
        <w:rPr>
          <w:rFonts w:ascii="Times New Roman" w:hAnsi="Times New Roman" w:eastAsia="仿宋"/>
          <w:color w:val="auto"/>
          <w:sz w:val="28"/>
          <w:szCs w:val="28"/>
          <w:u w:val="single"/>
        </w:rPr>
      </w:pPr>
    </w:p>
    <w:p w14:paraId="026D1C1D">
      <w:pPr>
        <w:spacing w:line="560" w:lineRule="exact"/>
        <w:jc w:val="center"/>
        <w:outlineLvl w:val="0"/>
        <w:rPr>
          <w:rFonts w:ascii="Times New Roman" w:hAnsi="Times New Roman" w:eastAsia="仿宋_GB2312"/>
          <w:color w:val="auto"/>
          <w:kern w:val="0"/>
          <w:sz w:val="32"/>
          <w:szCs w:val="32"/>
        </w:rPr>
      </w:pPr>
      <w:r>
        <w:rPr>
          <w:rFonts w:ascii="Times New Roman" w:hAnsi="Times New Roman" w:eastAsia="仿宋"/>
          <w:b/>
          <w:color w:val="auto"/>
          <w:sz w:val="32"/>
          <w:szCs w:val="32"/>
        </w:rPr>
        <w:br w:type="page"/>
      </w:r>
      <w:bookmarkStart w:id="130" w:name="_Toc29784"/>
      <w:r>
        <w:rPr>
          <w:rFonts w:hint="eastAsia" w:ascii="Times New Roman" w:hAnsi="Times New Roman" w:eastAsia="仿宋"/>
          <w:b/>
          <w:color w:val="auto"/>
          <w:sz w:val="44"/>
          <w:szCs w:val="44"/>
        </w:rPr>
        <w:t>深圳安联尚璟府项目阶段性软装家装类框架采购（2025年度）</w:t>
      </w:r>
      <w:r>
        <w:rPr>
          <w:rFonts w:ascii="Times New Roman" w:hAnsi="Times New Roman" w:eastAsia="仿宋"/>
          <w:b/>
          <w:color w:val="auto"/>
          <w:sz w:val="44"/>
          <w:szCs w:val="44"/>
        </w:rPr>
        <w:t>合同</w:t>
      </w:r>
      <w:bookmarkEnd w:id="130"/>
    </w:p>
    <w:p w14:paraId="2EDC3A7C">
      <w:pPr>
        <w:spacing w:line="440" w:lineRule="exact"/>
        <w:jc w:val="center"/>
        <w:rPr>
          <w:rFonts w:hint="eastAsia" w:ascii="仿宋" w:hAnsi="仿宋" w:eastAsia="仿宋" w:cs="仿宋"/>
          <w:color w:val="auto"/>
          <w:sz w:val="24"/>
        </w:rPr>
      </w:pPr>
      <w:bookmarkStart w:id="131" w:name="_Toc19511_WPSOffice_Level1"/>
      <w:bookmarkStart w:id="132" w:name="_Toc29023_WPSOffice_Level1"/>
      <w:bookmarkStart w:id="133" w:name="_Toc30549"/>
      <w:r>
        <w:rPr>
          <w:rFonts w:hint="eastAsia" w:ascii="仿宋" w:hAnsi="仿宋" w:eastAsia="仿宋" w:cs="仿宋"/>
          <w:color w:val="auto"/>
          <w:sz w:val="24"/>
        </w:rPr>
        <w:t>【</w:t>
      </w:r>
      <w:r>
        <w:rPr>
          <w:rFonts w:hint="eastAsia" w:ascii="仿宋" w:hAnsi="仿宋" w:eastAsia="仿宋" w:cs="仿宋"/>
          <w:b/>
          <w:color w:val="auto"/>
          <w:w w:val="90"/>
          <w:sz w:val="24"/>
        </w:rPr>
        <w:t xml:space="preserve">合同编号：                </w:t>
      </w:r>
      <w:r>
        <w:rPr>
          <w:rFonts w:hint="eastAsia" w:ascii="仿宋" w:hAnsi="仿宋" w:eastAsia="仿宋" w:cs="仿宋"/>
          <w:color w:val="auto"/>
          <w:sz w:val="24"/>
        </w:rPr>
        <w:t>】</w:t>
      </w:r>
    </w:p>
    <w:tbl>
      <w:tblPr>
        <w:tblStyle w:val="20"/>
        <w:tblpPr w:leftFromText="180" w:rightFromText="180" w:vertAnchor="text" w:horzAnchor="page" w:tblpX="1410" w:tblpY="259"/>
        <w:tblOverlap w:val="never"/>
        <w:tblW w:w="9523" w:type="dxa"/>
        <w:tblInd w:w="0" w:type="dxa"/>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Layout w:type="fixed"/>
        <w:tblCellMar>
          <w:top w:w="0" w:type="dxa"/>
          <w:left w:w="108" w:type="dxa"/>
          <w:bottom w:w="0" w:type="dxa"/>
          <w:right w:w="108" w:type="dxa"/>
        </w:tblCellMar>
      </w:tblPr>
      <w:tblGrid>
        <w:gridCol w:w="4691"/>
        <w:gridCol w:w="4832"/>
      </w:tblGrid>
      <w:tr w14:paraId="5DCDC9DF">
        <w:tblPrEx>
          <w:tblBorders>
            <w:top w:val="single" w:color="auto" w:sz="12" w:space="0"/>
            <w:left w:val="single" w:color="auto" w:sz="12" w:space="0"/>
            <w:bottom w:val="single" w:color="auto" w:sz="12" w:space="0"/>
            <w:right w:val="single" w:color="auto" w:sz="12" w:space="0"/>
            <w:insideH w:val="single" w:color="auto" w:sz="4" w:space="0"/>
            <w:insideV w:val="single" w:color="auto" w:sz="4" w:space="0"/>
          </w:tblBorders>
          <w:tblCellMar>
            <w:top w:w="0" w:type="dxa"/>
            <w:left w:w="108" w:type="dxa"/>
            <w:bottom w:w="0" w:type="dxa"/>
            <w:right w:w="108" w:type="dxa"/>
          </w:tblCellMar>
        </w:tblPrEx>
        <w:trPr>
          <w:trHeight w:val="1955" w:hRule="atLeast"/>
        </w:trPr>
        <w:tc>
          <w:tcPr>
            <w:tcW w:w="4691" w:type="dxa"/>
            <w:tcBorders>
              <w:top w:val="single" w:color="auto" w:sz="12" w:space="0"/>
              <w:bottom w:val="single" w:color="auto" w:sz="12" w:space="0"/>
            </w:tcBorders>
          </w:tcPr>
          <w:p w14:paraId="51BC787F">
            <w:pPr>
              <w:spacing w:line="360" w:lineRule="auto"/>
              <w:rPr>
                <w:rFonts w:hint="eastAsia" w:ascii="仿宋" w:hAnsi="仿宋" w:eastAsia="仿宋" w:cs="仿宋"/>
                <w:color w:val="auto"/>
                <w:szCs w:val="21"/>
              </w:rPr>
            </w:pPr>
            <w:r>
              <w:rPr>
                <w:rFonts w:hint="eastAsia" w:ascii="仿宋" w:hAnsi="仿宋" w:eastAsia="仿宋" w:cs="仿宋"/>
                <w:b/>
                <w:color w:val="auto"/>
                <w:szCs w:val="21"/>
              </w:rPr>
              <w:t>委托方</w:t>
            </w:r>
            <w:r>
              <w:rPr>
                <w:rFonts w:hint="eastAsia" w:ascii="仿宋" w:hAnsi="仿宋" w:eastAsia="仿宋" w:cs="仿宋"/>
                <w:color w:val="auto"/>
                <w:szCs w:val="21"/>
              </w:rPr>
              <w:t>：深圳市安之联置业有限公司</w:t>
            </w:r>
          </w:p>
          <w:p w14:paraId="46677BA0">
            <w:pPr>
              <w:spacing w:line="360" w:lineRule="auto"/>
              <w:ind w:firstLine="1260" w:firstLineChars="600"/>
              <w:rPr>
                <w:rFonts w:hint="eastAsia" w:ascii="仿宋" w:hAnsi="仿宋" w:eastAsia="仿宋" w:cs="仿宋"/>
                <w:color w:val="auto"/>
                <w:szCs w:val="21"/>
              </w:rPr>
            </w:pPr>
            <w:r>
              <w:rPr>
                <w:rFonts w:hint="eastAsia" w:ascii="仿宋" w:hAnsi="仿宋" w:eastAsia="仿宋" w:cs="仿宋"/>
                <w:color w:val="auto"/>
                <w:szCs w:val="21"/>
              </w:rPr>
              <w:t>（以下简称甲方）</w:t>
            </w:r>
          </w:p>
          <w:p w14:paraId="0AFE7AA7">
            <w:pPr>
              <w:spacing w:line="360" w:lineRule="auto"/>
              <w:ind w:firstLine="1260" w:firstLineChars="600"/>
              <w:rPr>
                <w:rFonts w:hint="eastAsia" w:ascii="仿宋" w:hAnsi="仿宋" w:eastAsia="仿宋" w:cs="仿宋"/>
                <w:color w:val="auto"/>
                <w:szCs w:val="21"/>
              </w:rPr>
            </w:pPr>
          </w:p>
          <w:p w14:paraId="5FB3FDC2">
            <w:pPr>
              <w:spacing w:line="360" w:lineRule="auto"/>
              <w:ind w:left="517" w:hanging="514" w:hangingChars="245"/>
              <w:rPr>
                <w:rFonts w:hint="eastAsia" w:ascii="仿宋" w:hAnsi="仿宋" w:eastAsia="仿宋" w:cs="仿宋"/>
                <w:color w:val="auto"/>
                <w:szCs w:val="21"/>
              </w:rPr>
            </w:pPr>
            <w:r>
              <w:rPr>
                <w:rFonts w:hint="eastAsia" w:ascii="仿宋" w:hAnsi="仿宋" w:eastAsia="仿宋" w:cs="仿宋"/>
                <w:b/>
                <w:color w:val="auto"/>
                <w:szCs w:val="21"/>
              </w:rPr>
              <w:t>地址：</w:t>
            </w:r>
            <w:r>
              <w:rPr>
                <w:rFonts w:hint="eastAsia" w:ascii="仿宋" w:hAnsi="仿宋" w:eastAsia="仿宋" w:cs="仿宋"/>
                <w:color w:val="auto"/>
                <w:szCs w:val="21"/>
              </w:rPr>
              <w:t xml:space="preserve"> </w:t>
            </w:r>
          </w:p>
          <w:p w14:paraId="171AD1F2">
            <w:pPr>
              <w:spacing w:line="360" w:lineRule="auto"/>
              <w:rPr>
                <w:rFonts w:hint="eastAsia" w:ascii="仿宋" w:hAnsi="仿宋" w:eastAsia="仿宋" w:cs="仿宋"/>
                <w:color w:val="auto"/>
                <w:szCs w:val="21"/>
              </w:rPr>
            </w:pPr>
            <w:r>
              <w:rPr>
                <w:rFonts w:hint="eastAsia" w:ascii="仿宋" w:hAnsi="仿宋" w:eastAsia="仿宋" w:cs="仿宋"/>
                <w:b/>
                <w:color w:val="auto"/>
                <w:szCs w:val="21"/>
              </w:rPr>
              <w:t>邮编</w:t>
            </w:r>
            <w:r>
              <w:rPr>
                <w:rFonts w:hint="eastAsia" w:ascii="仿宋" w:hAnsi="仿宋" w:eastAsia="仿宋" w:cs="仿宋"/>
                <w:color w:val="auto"/>
                <w:szCs w:val="21"/>
              </w:rPr>
              <w:t xml:space="preserve">：                                                                                          </w:t>
            </w:r>
          </w:p>
          <w:p w14:paraId="7AF4FBEA">
            <w:pPr>
              <w:spacing w:line="360" w:lineRule="auto"/>
              <w:rPr>
                <w:rFonts w:hint="eastAsia" w:ascii="仿宋" w:hAnsi="仿宋" w:eastAsia="仿宋" w:cs="仿宋"/>
                <w:color w:val="auto"/>
                <w:szCs w:val="21"/>
              </w:rPr>
            </w:pPr>
            <w:r>
              <w:rPr>
                <w:rFonts w:hint="eastAsia" w:ascii="仿宋" w:hAnsi="仿宋" w:eastAsia="仿宋" w:cs="仿宋"/>
                <w:b/>
                <w:color w:val="auto"/>
                <w:szCs w:val="21"/>
              </w:rPr>
              <w:t>电话</w:t>
            </w:r>
            <w:r>
              <w:rPr>
                <w:rFonts w:hint="eastAsia" w:ascii="仿宋" w:hAnsi="仿宋" w:eastAsia="仿宋" w:cs="仿宋"/>
                <w:color w:val="auto"/>
                <w:szCs w:val="21"/>
              </w:rPr>
              <w:t xml:space="preserve">： </w:t>
            </w:r>
          </w:p>
          <w:p w14:paraId="23713965">
            <w:pPr>
              <w:spacing w:line="440" w:lineRule="exact"/>
              <w:rPr>
                <w:rFonts w:hint="eastAsia" w:ascii="仿宋" w:hAnsi="仿宋" w:eastAsia="仿宋" w:cs="仿宋"/>
                <w:color w:val="auto"/>
                <w:sz w:val="24"/>
              </w:rPr>
            </w:pPr>
          </w:p>
        </w:tc>
        <w:tc>
          <w:tcPr>
            <w:tcW w:w="4832" w:type="dxa"/>
            <w:tcBorders>
              <w:top w:val="single" w:color="auto" w:sz="12" w:space="0"/>
              <w:bottom w:val="single" w:color="auto" w:sz="12" w:space="0"/>
            </w:tcBorders>
          </w:tcPr>
          <w:p w14:paraId="49B3950F">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受托方：</w:t>
            </w:r>
          </w:p>
          <w:p w14:paraId="096A313A">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（以下简称乙方）</w:t>
            </w:r>
          </w:p>
          <w:p w14:paraId="49EF2A34">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地址：</w:t>
            </w:r>
          </w:p>
          <w:p w14:paraId="7732E634">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 xml:space="preserve">邮编： </w:t>
            </w:r>
          </w:p>
          <w:p w14:paraId="76B64682">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 xml:space="preserve">法定代表人： </w:t>
            </w:r>
          </w:p>
          <w:p w14:paraId="49BBDF8A">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电话：</w:t>
            </w:r>
          </w:p>
          <w:p w14:paraId="477B83C7">
            <w:pPr>
              <w:autoSpaceDE w:val="0"/>
              <w:autoSpaceDN w:val="0"/>
              <w:adjustRightInd w:val="0"/>
              <w:spacing w:line="440" w:lineRule="exact"/>
              <w:rPr>
                <w:rFonts w:hint="eastAsia" w:ascii="仿宋" w:hAnsi="仿宋" w:eastAsia="仿宋" w:cs="仿宋"/>
                <w:b/>
                <w:color w:val="auto"/>
                <w:szCs w:val="21"/>
              </w:rPr>
            </w:pPr>
            <w:r>
              <w:rPr>
                <w:rFonts w:hint="eastAsia" w:ascii="仿宋" w:hAnsi="仿宋" w:eastAsia="仿宋" w:cs="仿宋"/>
                <w:b/>
                <w:color w:val="auto"/>
                <w:szCs w:val="21"/>
              </w:rPr>
              <w:t xml:space="preserve">开户银行： </w:t>
            </w:r>
          </w:p>
          <w:p w14:paraId="687B508B">
            <w:pPr>
              <w:spacing w:line="440" w:lineRule="exact"/>
              <w:rPr>
                <w:rFonts w:hint="eastAsia" w:ascii="仿宋" w:hAnsi="仿宋" w:eastAsia="仿宋" w:cs="仿宋"/>
                <w:color w:val="auto"/>
                <w:sz w:val="24"/>
              </w:rPr>
            </w:pPr>
            <w:r>
              <w:rPr>
                <w:rFonts w:hint="eastAsia" w:ascii="仿宋" w:hAnsi="仿宋" w:eastAsia="仿宋" w:cs="仿宋"/>
                <w:b/>
                <w:color w:val="auto"/>
                <w:szCs w:val="21"/>
              </w:rPr>
              <w:t>账号： </w:t>
            </w:r>
          </w:p>
        </w:tc>
      </w:tr>
    </w:tbl>
    <w:p w14:paraId="3AC66700">
      <w:pPr>
        <w:pStyle w:val="7"/>
        <w:spacing w:line="50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甲乙双方根据《中华人民共和国民法典》及有关法律、法规的规定，经友好协商，甲方就家私套装采购工作等事宜委托乙方。为明确双方的权利和义务，特制定本合同，双方共同遵守。</w:t>
      </w:r>
    </w:p>
    <w:p w14:paraId="686A2F8F">
      <w:pPr>
        <w:spacing w:line="560" w:lineRule="exact"/>
        <w:ind w:firstLine="465"/>
        <w:rPr>
          <w:rFonts w:ascii="Times New Roman" w:hAnsi="Times New Roman" w:eastAsia="仿宋"/>
          <w:color w:val="auto"/>
          <w:spacing w:val="20"/>
          <w:sz w:val="32"/>
          <w:szCs w:val="32"/>
        </w:rPr>
      </w:pPr>
      <w:r>
        <w:rPr>
          <w:rFonts w:ascii="Times New Roman" w:hAnsi="Times New Roman" w:eastAsia="仿宋"/>
          <w:b/>
          <w:bCs/>
          <w:color w:val="auto"/>
          <w:sz w:val="32"/>
          <w:szCs w:val="32"/>
        </w:rPr>
        <w:t>一、合作内容</w:t>
      </w:r>
    </w:p>
    <w:p w14:paraId="4CAF6281">
      <w:pPr>
        <w:spacing w:line="560" w:lineRule="exact"/>
        <w:ind w:firstLine="465"/>
        <w:rPr>
          <w:rFonts w:ascii="Times New Roman" w:hAnsi="Times New Roman" w:eastAsia="仿宋"/>
          <w:color w:val="auto"/>
          <w:spacing w:val="20"/>
          <w:sz w:val="32"/>
          <w:szCs w:val="32"/>
        </w:rPr>
      </w:pPr>
      <w:r>
        <w:rPr>
          <w:rFonts w:ascii="Times New Roman" w:hAnsi="Times New Roman" w:eastAsia="仿宋"/>
          <w:color w:val="auto"/>
          <w:spacing w:val="20"/>
          <w:sz w:val="32"/>
          <w:szCs w:val="32"/>
        </w:rPr>
        <w:t>采购家私套装内容包括但不限于沙发组、茶几、餐桌、餐椅、主卧床、次卧床、主卧床垫、次卧床垫及全屋定制柜等内容。</w:t>
      </w:r>
    </w:p>
    <w:p w14:paraId="7F62DBBB">
      <w:pPr>
        <w:numPr>
          <w:ilvl w:val="0"/>
          <w:numId w:val="7"/>
        </w:numPr>
        <w:spacing w:line="560" w:lineRule="exact"/>
        <w:ind w:firstLine="627" w:firstLineChars="196"/>
        <w:rPr>
          <w:rFonts w:ascii="Times New Roman" w:hAnsi="Times New Roman" w:eastAsia="仿宋"/>
          <w:b/>
          <w:bCs/>
          <w:color w:val="auto"/>
          <w:sz w:val="32"/>
          <w:szCs w:val="32"/>
        </w:rPr>
      </w:pPr>
      <w:r>
        <w:rPr>
          <w:rFonts w:ascii="Times New Roman" w:hAnsi="Times New Roman" w:eastAsia="仿宋"/>
          <w:b/>
          <w:bCs/>
          <w:color w:val="auto"/>
          <w:sz w:val="32"/>
          <w:szCs w:val="32"/>
        </w:rPr>
        <w:t>合同期限</w:t>
      </w:r>
    </w:p>
    <w:p w14:paraId="0E949238">
      <w:pPr>
        <w:spacing w:line="560" w:lineRule="exact"/>
        <w:ind w:firstLine="432" w:firstLineChars="12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 xml:space="preserve"> 供货期限：本合同供货期限自</w:t>
      </w:r>
      <w:r>
        <w:rPr>
          <w:rFonts w:hint="eastAsia" w:ascii="Times New Roman" w:hAnsi="Times New Roman" w:eastAsia="仿宋"/>
          <w:color w:val="auto"/>
          <w:spacing w:val="20"/>
          <w:sz w:val="32"/>
          <w:szCs w:val="32"/>
        </w:rPr>
        <w:t>合同签订生效之日</w:t>
      </w:r>
      <w:r>
        <w:rPr>
          <w:rFonts w:ascii="Times New Roman" w:hAnsi="Times New Roman" w:eastAsia="仿宋"/>
          <w:color w:val="auto"/>
          <w:spacing w:val="20"/>
          <w:sz w:val="32"/>
          <w:szCs w:val="32"/>
        </w:rPr>
        <w:t>起至2025年</w:t>
      </w:r>
      <w:r>
        <w:rPr>
          <w:rFonts w:hint="eastAsia" w:ascii="Times New Roman" w:hAnsi="Times New Roman" w:eastAsia="仿宋"/>
          <w:color w:val="auto"/>
          <w:spacing w:val="20"/>
          <w:sz w:val="32"/>
          <w:szCs w:val="32"/>
        </w:rPr>
        <w:t>12</w:t>
      </w:r>
      <w:r>
        <w:rPr>
          <w:rFonts w:ascii="Times New Roman" w:hAnsi="Times New Roman" w:eastAsia="仿宋"/>
          <w:color w:val="auto"/>
          <w:spacing w:val="20"/>
          <w:sz w:val="32"/>
          <w:szCs w:val="32"/>
        </w:rPr>
        <w:t>月3</w:t>
      </w:r>
      <w:r>
        <w:rPr>
          <w:rFonts w:hint="eastAsia" w:ascii="Times New Roman" w:hAnsi="Times New Roman" w:eastAsia="仿宋"/>
          <w:color w:val="auto"/>
          <w:spacing w:val="20"/>
          <w:sz w:val="32"/>
          <w:szCs w:val="32"/>
        </w:rPr>
        <w:t>1</w:t>
      </w:r>
      <w:r>
        <w:rPr>
          <w:rFonts w:ascii="Times New Roman" w:hAnsi="Times New Roman" w:eastAsia="仿宋"/>
          <w:color w:val="auto"/>
          <w:spacing w:val="20"/>
          <w:sz w:val="32"/>
          <w:szCs w:val="32"/>
        </w:rPr>
        <w:t>日止，具体家私的需求品类、数量及供货时间以甲方通知为准。</w:t>
      </w:r>
    </w:p>
    <w:p w14:paraId="74BA166D">
      <w:pPr>
        <w:spacing w:line="560" w:lineRule="exact"/>
        <w:ind w:firstLine="627" w:firstLineChars="196"/>
        <w:rPr>
          <w:rFonts w:ascii="Times New Roman" w:hAnsi="Times New Roman" w:eastAsia="仿宋"/>
          <w:b/>
          <w:bCs/>
          <w:color w:val="auto"/>
          <w:sz w:val="32"/>
          <w:szCs w:val="32"/>
        </w:rPr>
      </w:pPr>
      <w:r>
        <w:rPr>
          <w:rFonts w:ascii="Times New Roman" w:hAnsi="Times New Roman" w:eastAsia="仿宋"/>
          <w:b/>
          <w:bCs/>
          <w:color w:val="auto"/>
          <w:sz w:val="32"/>
          <w:szCs w:val="32"/>
        </w:rPr>
        <w:t>三、甲方的权利和义务</w:t>
      </w:r>
    </w:p>
    <w:p w14:paraId="21FB5A9F">
      <w:pPr>
        <w:autoSpaceDE w:val="0"/>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lang w:bidi="ar"/>
        </w:rPr>
        <w:t>1、甲方应在合同履行期间向乙方提供所需的关于甲方的资料和可使用的资源，并积极配合乙方，以便乙方能更顺利的开展所约定的工作。</w:t>
      </w:r>
    </w:p>
    <w:p w14:paraId="42D04587">
      <w:pPr>
        <w:autoSpaceDE w:val="0"/>
        <w:spacing w:line="560" w:lineRule="exact"/>
        <w:ind w:firstLine="720" w:firstLineChars="200"/>
        <w:rPr>
          <w:rFonts w:ascii="Times New Roman" w:hAnsi="Times New Roman" w:eastAsia="仿宋"/>
          <w:color w:val="auto"/>
          <w:spacing w:val="20"/>
          <w:sz w:val="32"/>
          <w:szCs w:val="32"/>
          <w:lang w:bidi="ar"/>
        </w:rPr>
      </w:pPr>
      <w:r>
        <w:rPr>
          <w:rFonts w:ascii="Times New Roman" w:hAnsi="Times New Roman" w:eastAsia="仿宋"/>
          <w:color w:val="auto"/>
          <w:spacing w:val="20"/>
          <w:sz w:val="32"/>
          <w:szCs w:val="32"/>
          <w:lang w:bidi="ar"/>
        </w:rPr>
        <w:t>2、甲方按合同约定向乙方支付相关费用。甲乙双方应及时沟通，充分预估可能出现的费用，并安排相关事宜。</w:t>
      </w:r>
    </w:p>
    <w:p w14:paraId="4B08159F">
      <w:pPr>
        <w:autoSpaceDE w:val="0"/>
        <w:spacing w:line="560" w:lineRule="exact"/>
        <w:ind w:firstLine="720" w:firstLineChars="200"/>
        <w:rPr>
          <w:color w:val="auto"/>
        </w:rPr>
      </w:pPr>
      <w:r>
        <w:rPr>
          <w:rFonts w:hint="eastAsia" w:ascii="Times New Roman" w:hAnsi="Times New Roman" w:eastAsia="仿宋"/>
          <w:color w:val="auto"/>
          <w:spacing w:val="20"/>
          <w:sz w:val="32"/>
          <w:szCs w:val="32"/>
          <w:lang w:bidi="ar"/>
        </w:rPr>
        <w:t>3、</w:t>
      </w:r>
      <w:r>
        <w:rPr>
          <w:rFonts w:ascii="Times New Roman" w:hAnsi="Times New Roman" w:eastAsia="仿宋"/>
          <w:color w:val="auto"/>
          <w:spacing w:val="20"/>
          <w:sz w:val="32"/>
          <w:szCs w:val="32"/>
          <w:lang w:bidi="ar"/>
        </w:rPr>
        <w:t>甲方有权根据销售需求调整家私品类、数量及交付时间，乙方不得拒绝或要求额外费用。</w:t>
      </w:r>
    </w:p>
    <w:p w14:paraId="10325CD7">
      <w:pPr>
        <w:autoSpaceDE w:val="0"/>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lang w:bidi="ar"/>
        </w:rPr>
        <w:t>4</w:t>
      </w:r>
      <w:r>
        <w:rPr>
          <w:rFonts w:ascii="Times New Roman" w:hAnsi="Times New Roman" w:eastAsia="仿宋"/>
          <w:color w:val="auto"/>
          <w:spacing w:val="20"/>
          <w:sz w:val="32"/>
          <w:szCs w:val="32"/>
          <w:lang w:bidi="ar"/>
        </w:rPr>
        <w:t>、如甲方需对已下单的家私内容进行更改，应在第一时间通知乙方，以便乙方能根据甲方的要求及时做出调整。</w:t>
      </w:r>
    </w:p>
    <w:p w14:paraId="7720630B">
      <w:pPr>
        <w:spacing w:line="560" w:lineRule="exact"/>
        <w:ind w:firstLine="627" w:firstLineChars="196"/>
        <w:rPr>
          <w:rFonts w:ascii="Times New Roman" w:hAnsi="Times New Roman" w:eastAsia="仿宋"/>
          <w:b/>
          <w:bCs/>
          <w:color w:val="auto"/>
          <w:sz w:val="32"/>
          <w:szCs w:val="32"/>
        </w:rPr>
      </w:pPr>
      <w:r>
        <w:rPr>
          <w:rFonts w:ascii="Times New Roman" w:hAnsi="Times New Roman" w:eastAsia="仿宋"/>
          <w:b/>
          <w:bCs/>
          <w:color w:val="auto"/>
          <w:sz w:val="32"/>
          <w:szCs w:val="32"/>
        </w:rPr>
        <w:t>四、乙方的权利与义务</w:t>
      </w:r>
    </w:p>
    <w:p w14:paraId="30848D04">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1、如业主需要，乙方应及时为业主提供最新的下单、排产、发货、配送、安装进度及情况。</w:t>
      </w:r>
    </w:p>
    <w:p w14:paraId="68229B35">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2、乙方需保证提供的家私必须是全新（包括零部件）的货物，对该货物享有合法完整的权利。</w:t>
      </w:r>
    </w:p>
    <w:p w14:paraId="12A92868">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3、乙方保证在其出售的货物上不存在任何未曾向甲方透露的担保物权，如抵押权、质押权、留置权等。</w:t>
      </w:r>
    </w:p>
    <w:p w14:paraId="7E7FE3B0">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4、乙方保证其所出售的货物没有侵犯任何第三人的知识产权和商业秘密等权利。</w:t>
      </w:r>
    </w:p>
    <w:p w14:paraId="0B4EC2D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5、乙方需确保货物符合国家强制性安全标准，若因质量问题导致人身或财产损失，乙方承担全部赔偿责任（包括甲方垫付费用及</w:t>
      </w:r>
      <w:r>
        <w:rPr>
          <w:rFonts w:hint="eastAsia" w:ascii="Times New Roman" w:hAnsi="Times New Roman" w:eastAsia="仿宋"/>
          <w:color w:val="auto"/>
          <w:spacing w:val="20"/>
          <w:sz w:val="32"/>
          <w:szCs w:val="32"/>
        </w:rPr>
        <w:t>维权</w:t>
      </w:r>
      <w:r>
        <w:rPr>
          <w:rFonts w:ascii="Times New Roman" w:hAnsi="Times New Roman" w:eastAsia="仿宋"/>
          <w:color w:val="auto"/>
          <w:spacing w:val="20"/>
          <w:sz w:val="32"/>
          <w:szCs w:val="32"/>
        </w:rPr>
        <w:t>成本）。</w:t>
      </w:r>
    </w:p>
    <w:p w14:paraId="679554CC">
      <w:pPr>
        <w:pStyle w:val="2"/>
        <w:spacing w:after="0" w:line="560" w:lineRule="exact"/>
        <w:ind w:firstLine="720" w:firstLineChars="200"/>
        <w:rPr>
          <w:rFonts w:ascii="Times New Roman" w:hAnsi="Times New Roman"/>
          <w:color w:val="auto"/>
        </w:rPr>
      </w:pPr>
      <w:r>
        <w:rPr>
          <w:rFonts w:ascii="Times New Roman" w:hAnsi="Times New Roman" w:eastAsia="仿宋"/>
          <w:color w:val="auto"/>
          <w:spacing w:val="20"/>
          <w:sz w:val="32"/>
          <w:szCs w:val="32"/>
        </w:rPr>
        <w:t>6、乙方应随货提供完整的技术资料及质量合格证书、保修卡（单）、说明书和送货单等随货有关单证，货物完好，配件齐全。</w:t>
      </w:r>
    </w:p>
    <w:p w14:paraId="66E2F3C5">
      <w:pPr>
        <w:pStyle w:val="2"/>
        <w:spacing w:after="0"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7、乙方提供的家私室内环境应符合《民用建筑工程室内环境污染控制规范》（GB50325-2001）室内污染物应满足如下要求：</w:t>
      </w:r>
    </w:p>
    <w:p w14:paraId="2BAEA85B">
      <w:pPr>
        <w:pStyle w:val="2"/>
        <w:spacing w:after="0"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氡（Bq/m3）≤200</w:t>
      </w:r>
    </w:p>
    <w:p w14:paraId="667D7217">
      <w:pPr>
        <w:pStyle w:val="2"/>
        <w:spacing w:after="0"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甲醛（mg m3）≤0.08</w:t>
      </w:r>
    </w:p>
    <w:p w14:paraId="758EBDAF">
      <w:pPr>
        <w:pStyle w:val="2"/>
        <w:spacing w:after="0"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苯（mg m3）≤0.09</w:t>
      </w:r>
    </w:p>
    <w:p w14:paraId="000FE0E8">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氨（mg m3）≤0.20</w:t>
      </w:r>
    </w:p>
    <w:p w14:paraId="7C33E158">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总挥发性有机物TVOC（Bq/m3）≤0.50</w:t>
      </w:r>
    </w:p>
    <w:p w14:paraId="6D58EE98">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8、乙方保证其货物在正常使用和保养条件下，在其使用寿命期内应具有满意的性能，乙方提供的产品应满足如下技术和质量标准：</w:t>
      </w:r>
    </w:p>
    <w:p w14:paraId="07C62DFD">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（1）产品国家标准；</w:t>
      </w:r>
    </w:p>
    <w:p w14:paraId="58DF049F">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（2）产品行业标准；</w:t>
      </w:r>
    </w:p>
    <w:p w14:paraId="7EC12D10">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（3）产品制造商企业标准；</w:t>
      </w:r>
    </w:p>
    <w:p w14:paraId="53EAAED4">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（4）本合同及附件所约定标准；</w:t>
      </w:r>
    </w:p>
    <w:p w14:paraId="6D41EA22">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（5）甲方要求的标准。</w:t>
      </w:r>
    </w:p>
    <w:p w14:paraId="14C00281">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如前述标准条款约定不一致的，以要求更高、标准条款更严格的标准为准。</w:t>
      </w:r>
    </w:p>
    <w:p w14:paraId="252CD4EC">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9、乙方负责家私的运输工作，乙方应为货物提供安全的运输和包装方式，并在甲方约定时间内将货物运送至业主指定地点（</w:t>
      </w:r>
      <w:r>
        <w:rPr>
          <w:rFonts w:hint="eastAsia" w:ascii="Times New Roman" w:hAnsi="Times New Roman" w:eastAsia="仿宋"/>
          <w:color w:val="auto"/>
          <w:sz w:val="32"/>
          <w:szCs w:val="32"/>
        </w:rPr>
        <w:t>深圳安联尚璟府</w:t>
      </w:r>
      <w:r>
        <w:rPr>
          <w:rFonts w:ascii="Times New Roman" w:hAnsi="Times New Roman" w:eastAsia="仿宋"/>
          <w:color w:val="auto"/>
          <w:sz w:val="32"/>
          <w:szCs w:val="32"/>
        </w:rPr>
        <w:t>-具体地点以业主房间为准），交付给业主。运输过程中，货物磕碰、损毁</w:t>
      </w:r>
      <w:r>
        <w:rPr>
          <w:rFonts w:hint="eastAsia" w:ascii="Times New Roman" w:hAnsi="Times New Roman" w:eastAsia="仿宋"/>
          <w:color w:val="auto"/>
          <w:sz w:val="32"/>
          <w:szCs w:val="32"/>
        </w:rPr>
        <w:t>或灭失等</w:t>
      </w:r>
      <w:r>
        <w:rPr>
          <w:rFonts w:ascii="Times New Roman" w:hAnsi="Times New Roman" w:eastAsia="仿宋"/>
          <w:color w:val="auto"/>
          <w:sz w:val="32"/>
          <w:szCs w:val="32"/>
        </w:rPr>
        <w:t>风险由乙方承担。</w:t>
      </w:r>
    </w:p>
    <w:p w14:paraId="43F13534">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10、乙方送货至业主指定地点后，应配合业主对家私品牌、规格</w:t>
      </w:r>
      <w:r>
        <w:rPr>
          <w:rFonts w:hint="eastAsia" w:ascii="Times New Roman" w:hAnsi="Times New Roman" w:eastAsia="仿宋"/>
          <w:color w:val="auto"/>
          <w:sz w:val="32"/>
          <w:szCs w:val="32"/>
        </w:rPr>
        <w:t>（</w:t>
      </w:r>
      <w:r>
        <w:rPr>
          <w:rFonts w:ascii="Times New Roman" w:hAnsi="Times New Roman" w:eastAsia="仿宋"/>
          <w:color w:val="auto"/>
          <w:sz w:val="32"/>
          <w:szCs w:val="32"/>
        </w:rPr>
        <w:t>型号</w:t>
      </w:r>
      <w:r>
        <w:rPr>
          <w:rFonts w:hint="eastAsia" w:ascii="Times New Roman" w:hAnsi="Times New Roman" w:eastAsia="仿宋"/>
          <w:color w:val="auto"/>
          <w:sz w:val="32"/>
          <w:szCs w:val="32"/>
        </w:rPr>
        <w:t>）</w:t>
      </w:r>
      <w:r>
        <w:rPr>
          <w:rFonts w:ascii="Times New Roman" w:hAnsi="Times New Roman" w:eastAsia="仿宋"/>
          <w:color w:val="auto"/>
          <w:sz w:val="32"/>
          <w:szCs w:val="32"/>
        </w:rPr>
        <w:t>、产品外观、数量或表面瑕疵等要素进行签收，业主在送货单上签字</w:t>
      </w:r>
      <w:r>
        <w:rPr>
          <w:rFonts w:hint="eastAsia" w:ascii="Times New Roman" w:hAnsi="Times New Roman" w:eastAsia="仿宋"/>
          <w:color w:val="auto"/>
          <w:sz w:val="32"/>
          <w:szCs w:val="32"/>
        </w:rPr>
        <w:t>确认后，</w:t>
      </w:r>
      <w:r>
        <w:rPr>
          <w:rFonts w:ascii="Times New Roman" w:hAnsi="Times New Roman" w:eastAsia="仿宋"/>
          <w:color w:val="auto"/>
          <w:sz w:val="32"/>
          <w:szCs w:val="32"/>
        </w:rPr>
        <w:t>由乙方、业主、甲方共同签署三方验收单（详见附件4）作为结算依据。如非业主原因导致业主拒收的，乙方应配合进行更换等工作。</w:t>
      </w:r>
    </w:p>
    <w:p w14:paraId="1792F312">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11、乙方需提供全屋定制柜类的安装服务，安装位置、布局等要素以业主具体需求为准，安装完成且通过业主验收后，由乙方、业主、甲方共同签署三方验收单（详见附件4）作为结算依据。</w:t>
      </w:r>
    </w:p>
    <w:p w14:paraId="7B83B195">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12、如因乙方原因在全屋定制柜类搬运、安装过程中发生磕碰、损坏导致业主拒绝验收的，乙方应</w:t>
      </w:r>
      <w:r>
        <w:rPr>
          <w:rFonts w:hint="eastAsia" w:ascii="Times New Roman" w:hAnsi="Times New Roman" w:eastAsia="仿宋"/>
          <w:color w:val="auto"/>
          <w:sz w:val="32"/>
          <w:szCs w:val="32"/>
        </w:rPr>
        <w:t>无条件</w:t>
      </w:r>
      <w:r>
        <w:rPr>
          <w:rFonts w:ascii="Times New Roman" w:hAnsi="Times New Roman" w:eastAsia="仿宋"/>
          <w:color w:val="auto"/>
          <w:sz w:val="32"/>
          <w:szCs w:val="32"/>
        </w:rPr>
        <w:t>进行更换等工作。</w:t>
      </w:r>
    </w:p>
    <w:p w14:paraId="06409C3D">
      <w:pPr>
        <w:pStyle w:val="2"/>
        <w:spacing w:after="0" w:line="560" w:lineRule="exact"/>
        <w:ind w:firstLine="640" w:firstLineChars="200"/>
        <w:rPr>
          <w:rFonts w:ascii="Times New Roman" w:hAnsi="Times New Roman" w:eastAsia="仿宋"/>
          <w:color w:val="auto"/>
          <w:sz w:val="32"/>
          <w:szCs w:val="32"/>
        </w:rPr>
      </w:pPr>
      <w:r>
        <w:rPr>
          <w:rFonts w:ascii="Times New Roman" w:hAnsi="Times New Roman" w:eastAsia="仿宋"/>
          <w:color w:val="auto"/>
          <w:sz w:val="32"/>
          <w:szCs w:val="32"/>
        </w:rPr>
        <w:t>13、乙方在交付货物的同时，应根据业主要求的时间和地点对业主进行产品的性能、使用、维护等情况进行讲解或培训。</w:t>
      </w:r>
    </w:p>
    <w:p w14:paraId="77B6946B">
      <w:pPr>
        <w:pStyle w:val="2"/>
        <w:spacing w:after="0" w:line="560" w:lineRule="exact"/>
        <w:ind w:firstLine="640" w:firstLineChars="200"/>
        <w:rPr>
          <w:rFonts w:ascii="Times New Roman" w:hAnsi="Times New Roman" w:eastAsia="仿宋"/>
          <w:b/>
          <w:bCs/>
          <w:color w:val="auto"/>
          <w:sz w:val="32"/>
          <w:szCs w:val="32"/>
        </w:rPr>
      </w:pPr>
      <w:r>
        <w:rPr>
          <w:rFonts w:ascii="Times New Roman" w:hAnsi="Times New Roman" w:eastAsia="仿宋"/>
          <w:b/>
          <w:bCs/>
          <w:color w:val="auto"/>
          <w:sz w:val="32"/>
          <w:szCs w:val="32"/>
        </w:rPr>
        <w:t>五、费用收取及付款方式</w:t>
      </w:r>
    </w:p>
    <w:p w14:paraId="3268B8EB">
      <w:pPr>
        <w:spacing w:line="560" w:lineRule="exact"/>
        <w:ind w:firstLine="640" w:firstLineChars="200"/>
        <w:rPr>
          <w:rFonts w:ascii="Times New Roman" w:hAnsi="Times New Roman" w:eastAsia="仿宋"/>
          <w:color w:val="auto"/>
          <w:spacing w:val="20"/>
          <w:sz w:val="32"/>
          <w:szCs w:val="32"/>
        </w:rPr>
      </w:pPr>
      <w:r>
        <w:rPr>
          <w:rFonts w:ascii="Times New Roman" w:hAnsi="Times New Roman" w:eastAsia="仿宋"/>
          <w:color w:val="auto"/>
          <w:sz w:val="32"/>
          <w:szCs w:val="32"/>
        </w:rPr>
        <w:t xml:space="preserve"> 1、</w:t>
      </w:r>
      <w:r>
        <w:rPr>
          <w:rFonts w:ascii="Times New Roman" w:hAnsi="Times New Roman" w:eastAsia="仿宋"/>
          <w:color w:val="auto"/>
          <w:spacing w:val="20"/>
          <w:sz w:val="32"/>
          <w:szCs w:val="32"/>
        </w:rPr>
        <w:t>本合同为单价合同，单次付款金额以甲方下单的单套家私的单价、数量为准进行核算。本合同暂定总价：人民币</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元，小写¥</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，（其中不含增值税价为¥</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，增值税税率为</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%，税额为¥</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）单套家私含税金额：人民币</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元，小写¥</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w:t>
      </w:r>
    </w:p>
    <w:p w14:paraId="768AE68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各项家私单价详见附件3，此单价已经包含乙方为履行本合同内容所花费的货物的原材料、生产、包装、运输、保险、装卸货、垂直运输、安装及所需的附属材料、报检验收、材料损耗、管理费、利润、税费等一切相关费用，在合同期间内，此单价不因任何因素而变动。</w:t>
      </w:r>
    </w:p>
    <w:p w14:paraId="49BA12F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3、甲方可按需求自由选择清单中同品类家私的不同材质进行下单，同品类家私的单价不因材质的不同而变动。</w:t>
      </w:r>
    </w:p>
    <w:p w14:paraId="0275A25D">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4、乙方送货至业主指定地点，经业主确认签收后（需提供业主签字确认的送货单），甲方向乙方支付该批次单套家私金额的85%；</w:t>
      </w:r>
    </w:p>
    <w:p w14:paraId="75E27218">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乙方按照业主要求完成</w:t>
      </w:r>
      <w:r>
        <w:rPr>
          <w:rFonts w:ascii="Times New Roman" w:hAnsi="Times New Roman" w:eastAsia="仿宋"/>
          <w:color w:val="auto"/>
          <w:sz w:val="32"/>
          <w:szCs w:val="32"/>
        </w:rPr>
        <w:t>全屋定制柜类的安装工作，经乙方、业主、甲方验收后</w:t>
      </w:r>
      <w:r>
        <w:rPr>
          <w:rFonts w:ascii="Times New Roman" w:hAnsi="Times New Roman" w:eastAsia="仿宋"/>
          <w:color w:val="auto"/>
          <w:spacing w:val="20"/>
          <w:sz w:val="32"/>
          <w:szCs w:val="32"/>
        </w:rPr>
        <w:t>（需提供</w:t>
      </w:r>
      <w:r>
        <w:rPr>
          <w:rFonts w:ascii="Times New Roman" w:hAnsi="Times New Roman" w:eastAsia="仿宋"/>
          <w:color w:val="auto"/>
          <w:sz w:val="32"/>
          <w:szCs w:val="32"/>
        </w:rPr>
        <w:t>由乙方、业主、甲方共同签署三方验收单</w:t>
      </w:r>
      <w:r>
        <w:rPr>
          <w:rFonts w:ascii="Times New Roman" w:hAnsi="Times New Roman" w:eastAsia="仿宋"/>
          <w:color w:val="auto"/>
          <w:spacing w:val="20"/>
          <w:sz w:val="32"/>
          <w:szCs w:val="32"/>
        </w:rPr>
        <w:t>）</w:t>
      </w:r>
      <w:r>
        <w:rPr>
          <w:rFonts w:ascii="Times New Roman" w:hAnsi="Times New Roman" w:eastAsia="仿宋"/>
          <w:color w:val="auto"/>
          <w:sz w:val="32"/>
          <w:szCs w:val="32"/>
        </w:rPr>
        <w:t>，甲方向</w:t>
      </w:r>
      <w:r>
        <w:rPr>
          <w:rFonts w:ascii="Times New Roman" w:hAnsi="Times New Roman" w:eastAsia="仿宋"/>
          <w:color w:val="auto"/>
          <w:spacing w:val="20"/>
          <w:sz w:val="32"/>
          <w:szCs w:val="32"/>
        </w:rPr>
        <w:t>乙方支付至该批次单套家私金额的100%。</w:t>
      </w:r>
    </w:p>
    <w:p w14:paraId="0B3FF84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5、本合同采用月结方式付款，甲乙双方于每月月初核对上月下单的家私品类及数量，双方核对确认无误后，甲方履行付款义务。</w:t>
      </w:r>
    </w:p>
    <w:p w14:paraId="3024D2C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6、甲方每次付款前，乙方需提供有效的等额增值税专用发票和甲方要求的送货单/三方验收单及其他相关材料，甲方在收到上述材料后15个工作日安排付款，如因乙方延迟请款、未能提供有效发票，或提供的请款材料存在瑕疵导致甲方未能在约定时间付款的，后果由乙方自行承担。</w:t>
      </w:r>
    </w:p>
    <w:p w14:paraId="0FB6CFFF">
      <w:pPr>
        <w:pStyle w:val="2"/>
        <w:spacing w:after="0" w:line="560" w:lineRule="exact"/>
        <w:ind w:firstLine="640" w:firstLineChars="200"/>
        <w:rPr>
          <w:rFonts w:ascii="Times New Roman" w:hAnsi="Times New Roman" w:eastAsia="仿宋"/>
          <w:b/>
          <w:bCs/>
          <w:color w:val="auto"/>
          <w:sz w:val="32"/>
          <w:szCs w:val="32"/>
        </w:rPr>
      </w:pPr>
      <w:r>
        <w:rPr>
          <w:rFonts w:ascii="Times New Roman" w:hAnsi="Times New Roman" w:eastAsia="仿宋"/>
          <w:b/>
          <w:bCs/>
          <w:color w:val="auto"/>
          <w:sz w:val="32"/>
          <w:szCs w:val="32"/>
        </w:rPr>
        <w:t>六、售后服务及质保期</w:t>
      </w:r>
    </w:p>
    <w:p w14:paraId="735629D9">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w:t>
      </w:r>
      <w:r>
        <w:rPr>
          <w:rFonts w:hint="eastAsia" w:ascii="Times New Roman" w:hAnsi="Times New Roman" w:eastAsia="仿宋"/>
          <w:color w:val="auto"/>
          <w:spacing w:val="20"/>
          <w:sz w:val="32"/>
          <w:szCs w:val="32"/>
        </w:rPr>
        <w:t>本合同货物的售后服务期为：自交付货物起</w:t>
      </w:r>
      <w:r>
        <w:rPr>
          <w:rFonts w:ascii="Times New Roman" w:hAnsi="Times New Roman" w:eastAsia="仿宋"/>
          <w:color w:val="auto"/>
          <w:spacing w:val="20"/>
          <w:sz w:val="32"/>
          <w:szCs w:val="32"/>
        </w:rPr>
        <w:t xml:space="preserve"> </w:t>
      </w:r>
      <w:r>
        <w:rPr>
          <w:rFonts w:hint="eastAsia" w:ascii="Times New Roman" w:hAnsi="Times New Roman" w:eastAsia="仿宋"/>
          <w:color w:val="auto"/>
          <w:spacing w:val="20"/>
          <w:sz w:val="32"/>
          <w:szCs w:val="32"/>
        </w:rPr>
        <w:t>12</w:t>
      </w:r>
      <w:r>
        <w:rPr>
          <w:rFonts w:ascii="Times New Roman" w:hAnsi="Times New Roman" w:eastAsia="仿宋"/>
          <w:color w:val="auto"/>
          <w:spacing w:val="20"/>
          <w:sz w:val="32"/>
          <w:szCs w:val="32"/>
        </w:rPr>
        <w:t xml:space="preserve"> </w:t>
      </w:r>
      <w:r>
        <w:rPr>
          <w:rFonts w:hint="eastAsia" w:ascii="Times New Roman" w:hAnsi="Times New Roman" w:eastAsia="仿宋"/>
          <w:color w:val="auto"/>
          <w:spacing w:val="20"/>
          <w:sz w:val="32"/>
          <w:szCs w:val="32"/>
        </w:rPr>
        <w:t>个月。乙方为甲方或业主提供完善的售后服务，配备技术人员、工具、配件等，并在甲方或业主提出需求后</w:t>
      </w:r>
      <w:r>
        <w:rPr>
          <w:rFonts w:ascii="Times New Roman" w:hAnsi="Times New Roman" w:eastAsia="仿宋"/>
          <w:color w:val="auto"/>
          <w:spacing w:val="20"/>
          <w:sz w:val="32"/>
          <w:szCs w:val="32"/>
        </w:rPr>
        <w:t>24</w:t>
      </w:r>
      <w:r>
        <w:rPr>
          <w:rFonts w:hint="eastAsia" w:ascii="Times New Roman" w:hAnsi="Times New Roman" w:eastAsia="仿宋"/>
          <w:color w:val="auto"/>
          <w:spacing w:val="20"/>
          <w:sz w:val="32"/>
          <w:szCs w:val="32"/>
        </w:rPr>
        <w:t>小时内作出响应，如需现场调试或查看的，应当在甲方或业主通知后</w:t>
      </w:r>
      <w:r>
        <w:rPr>
          <w:rFonts w:ascii="Times New Roman" w:hAnsi="Times New Roman" w:eastAsia="仿宋"/>
          <w:color w:val="auto"/>
          <w:spacing w:val="20"/>
          <w:sz w:val="32"/>
          <w:szCs w:val="32"/>
        </w:rPr>
        <w:t>48</w:t>
      </w:r>
      <w:r>
        <w:rPr>
          <w:rFonts w:hint="eastAsia" w:ascii="Times New Roman" w:hAnsi="Times New Roman" w:eastAsia="仿宋"/>
          <w:color w:val="auto"/>
          <w:spacing w:val="20"/>
          <w:sz w:val="32"/>
          <w:szCs w:val="32"/>
        </w:rPr>
        <w:t>小时内到达现场。乙方应当承担售后服务所需全部费用。如乙方未能按时响应或者到达现场的，甲方或业主有权选择委托第三人进行维修，相应的维修费用由乙方承担。</w:t>
      </w:r>
    </w:p>
    <w:p w14:paraId="4B905D39">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2、本合同货物的质保期为：自交付货物起</w:t>
      </w:r>
      <w:r>
        <w:rPr>
          <w:rFonts w:ascii="Times New Roman" w:hAnsi="Times New Roman" w:eastAsia="仿宋"/>
          <w:color w:val="auto"/>
          <w:spacing w:val="20"/>
          <w:sz w:val="32"/>
          <w:szCs w:val="32"/>
        </w:rPr>
        <w:t xml:space="preserve"> </w:t>
      </w:r>
      <w:r>
        <w:rPr>
          <w:rFonts w:hint="eastAsia" w:ascii="Times New Roman" w:hAnsi="Times New Roman" w:eastAsia="仿宋"/>
          <w:color w:val="auto"/>
          <w:spacing w:val="20"/>
          <w:sz w:val="32"/>
          <w:szCs w:val="32"/>
        </w:rPr>
        <w:t>12</w:t>
      </w:r>
      <w:r>
        <w:rPr>
          <w:rFonts w:ascii="Times New Roman" w:hAnsi="Times New Roman" w:eastAsia="仿宋"/>
          <w:color w:val="auto"/>
          <w:spacing w:val="20"/>
          <w:sz w:val="32"/>
          <w:szCs w:val="32"/>
        </w:rPr>
        <w:t xml:space="preserve"> </w:t>
      </w:r>
      <w:r>
        <w:rPr>
          <w:rFonts w:hint="eastAsia" w:ascii="Times New Roman" w:hAnsi="Times New Roman" w:eastAsia="仿宋"/>
          <w:color w:val="auto"/>
          <w:spacing w:val="20"/>
          <w:sz w:val="32"/>
          <w:szCs w:val="32"/>
        </w:rPr>
        <w:t>个月。乙方保证质保期内，乙方所供产品存在任何质量问题，乙方保证在甲方或业主提出要求后</w:t>
      </w:r>
      <w:r>
        <w:rPr>
          <w:rFonts w:ascii="Times New Roman" w:hAnsi="Times New Roman" w:eastAsia="仿宋"/>
          <w:color w:val="auto"/>
          <w:spacing w:val="20"/>
          <w:sz w:val="32"/>
          <w:szCs w:val="32"/>
        </w:rPr>
        <w:t xml:space="preserve"> 5 </w:t>
      </w:r>
      <w:r>
        <w:rPr>
          <w:rFonts w:hint="eastAsia" w:ascii="Times New Roman" w:hAnsi="Times New Roman" w:eastAsia="仿宋"/>
          <w:color w:val="auto"/>
          <w:spacing w:val="20"/>
          <w:sz w:val="32"/>
          <w:szCs w:val="32"/>
        </w:rPr>
        <w:t>日内无条件退货或更换其他货物。质保期自更换完毕后重新计算。</w:t>
      </w:r>
    </w:p>
    <w:p w14:paraId="7C55230E">
      <w:pPr>
        <w:spacing w:line="560" w:lineRule="exact"/>
        <w:ind w:firstLine="640" w:firstLineChars="200"/>
        <w:rPr>
          <w:rFonts w:ascii="Times New Roman" w:hAnsi="Times New Roman" w:eastAsia="仿宋"/>
          <w:b/>
          <w:bCs/>
          <w:color w:val="auto"/>
          <w:kern w:val="0"/>
          <w:sz w:val="32"/>
          <w:szCs w:val="32"/>
        </w:rPr>
      </w:pPr>
      <w:r>
        <w:rPr>
          <w:rFonts w:hint="eastAsia" w:ascii="Times New Roman" w:hAnsi="Times New Roman" w:eastAsia="仿宋"/>
          <w:b/>
          <w:bCs/>
          <w:color w:val="auto"/>
          <w:kern w:val="0"/>
          <w:sz w:val="32"/>
          <w:szCs w:val="32"/>
        </w:rPr>
        <w:t>七</w:t>
      </w:r>
      <w:r>
        <w:rPr>
          <w:rFonts w:ascii="Times New Roman" w:hAnsi="Times New Roman" w:eastAsia="仿宋"/>
          <w:b/>
          <w:bCs/>
          <w:color w:val="auto"/>
          <w:kern w:val="0"/>
          <w:sz w:val="32"/>
          <w:szCs w:val="32"/>
        </w:rPr>
        <w:t>、违约责任</w:t>
      </w:r>
    </w:p>
    <w:p w14:paraId="692EB7A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乙方未按甲方要求提供家私的，甲方有权要求乙方予以更换；乙方拒绝更换或更换后仍不符合本合同约定的，甲方有权解除本合同，且乙方应按照合同总价的30%向甲方支付违约金。如在合同期间内发生2次上述情况，甲方有权单方面解除合同，并不承担任何后果。</w:t>
      </w:r>
    </w:p>
    <w:p w14:paraId="4047C341">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2、甲方有义务在乙方交付家私后按照合同约定支付相关费用，但因乙方未提供等额并完税的有效增值税发票或甲方要求的其他材料、乙方货物不达标导致甲方付款延期的除外。</w:t>
      </w:r>
    </w:p>
    <w:p w14:paraId="1C1A62B1">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w:t>
      </w:r>
      <w:r>
        <w:rPr>
          <w:rFonts w:hint="eastAsia" w:ascii="Times New Roman" w:hAnsi="Times New Roman" w:eastAsia="仿宋"/>
          <w:color w:val="auto"/>
          <w:spacing w:val="20"/>
          <w:sz w:val="32"/>
          <w:szCs w:val="32"/>
        </w:rPr>
        <w:t>一</w:t>
      </w:r>
      <w:r>
        <w:rPr>
          <w:rFonts w:ascii="Times New Roman" w:hAnsi="Times New Roman" w:eastAsia="仿宋"/>
          <w:color w:val="auto"/>
          <w:spacing w:val="20"/>
          <w:sz w:val="32"/>
          <w:szCs w:val="32"/>
        </w:rPr>
        <w:t>方违反商业保密条款的应按本合同总价10%向对方支付违约金。</w:t>
      </w:r>
    </w:p>
    <w:p w14:paraId="3B48DE1E">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乙方未在甲方规定时间内，完成家私排产、包装、送货、安装的，每延期一天，向甲方支付5000元违约金，且由此造成甲方项目的损失由乙方承担。如在合同期间内发生2次上述情况，甲方有权单方面解除合同，并不承担任何后果。</w:t>
      </w:r>
    </w:p>
    <w:p w14:paraId="757DF91D">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5、本合同履行期间，非对方违约，任意一方要求终止或解除合同的，则违约方应按照合同总价的30%向对方支付违约金。</w:t>
      </w:r>
    </w:p>
    <w:p w14:paraId="7CCAD407">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6、</w:t>
      </w:r>
      <w:r>
        <w:rPr>
          <w:rFonts w:hint="eastAsia" w:ascii="Times New Roman" w:hAnsi="Times New Roman" w:eastAsia="仿宋"/>
          <w:color w:val="auto"/>
          <w:spacing w:val="20"/>
          <w:sz w:val="32"/>
          <w:szCs w:val="32"/>
        </w:rPr>
        <w:t>除本合同另有明确约定外，</w:t>
      </w:r>
      <w:r>
        <w:rPr>
          <w:rFonts w:ascii="Times New Roman" w:hAnsi="Times New Roman" w:eastAsia="仿宋"/>
          <w:color w:val="auto"/>
          <w:spacing w:val="20"/>
          <w:sz w:val="32"/>
          <w:szCs w:val="32"/>
        </w:rPr>
        <w:t>甲乙双方禁止转让、部分转让合同权利义务给第三方，否则，对方有权解除合同，违约方承担合同总价30%的违约金。</w:t>
      </w:r>
    </w:p>
    <w:p w14:paraId="0C35128C">
      <w:pPr>
        <w:pStyle w:val="2"/>
        <w:spacing w:after="0" w:line="560" w:lineRule="exact"/>
        <w:ind w:firstLine="720" w:firstLineChars="200"/>
        <w:rPr>
          <w:rFonts w:ascii="Times New Roman" w:hAnsi="Times New Roman"/>
          <w:color w:val="auto"/>
        </w:rPr>
      </w:pPr>
      <w:r>
        <w:rPr>
          <w:rFonts w:ascii="Times New Roman" w:hAnsi="Times New Roman" w:eastAsia="仿宋"/>
          <w:color w:val="auto"/>
          <w:spacing w:val="20"/>
          <w:sz w:val="32"/>
          <w:szCs w:val="32"/>
        </w:rPr>
        <w:t>7、如甲方使用乙方货物构成侵权的，无论是对甲方及业主还是第三方造成任何人身或者财产损害的，由乙方承担全部赔偿责任，包括但不限于甲方及业主承担的损失、垫付的费用、维权支出的律师费、鉴定费、诉讼费、仲裁费、保全费、担保服务费、交通费等费用。</w:t>
      </w:r>
    </w:p>
    <w:p w14:paraId="6B153E07">
      <w:pPr>
        <w:spacing w:line="560" w:lineRule="exact"/>
        <w:ind w:firstLine="627" w:firstLineChars="196"/>
        <w:rPr>
          <w:rFonts w:ascii="Times New Roman" w:hAnsi="Times New Roman" w:eastAsia="仿宋"/>
          <w:b/>
          <w:bCs/>
          <w:color w:val="auto"/>
          <w:kern w:val="0"/>
          <w:sz w:val="32"/>
          <w:szCs w:val="32"/>
        </w:rPr>
      </w:pPr>
      <w:r>
        <w:rPr>
          <w:rFonts w:hint="eastAsia" w:ascii="Times New Roman" w:hAnsi="Times New Roman" w:eastAsia="仿宋"/>
          <w:b/>
          <w:bCs/>
          <w:color w:val="auto"/>
          <w:kern w:val="0"/>
          <w:sz w:val="32"/>
          <w:szCs w:val="32"/>
        </w:rPr>
        <w:t>八</w:t>
      </w:r>
      <w:r>
        <w:rPr>
          <w:rFonts w:ascii="Times New Roman" w:hAnsi="Times New Roman" w:eastAsia="仿宋"/>
          <w:b/>
          <w:bCs/>
          <w:color w:val="auto"/>
          <w:kern w:val="0"/>
          <w:sz w:val="32"/>
          <w:szCs w:val="32"/>
        </w:rPr>
        <w:t>、争议的解决</w:t>
      </w:r>
    </w:p>
    <w:p w14:paraId="28F9831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双方若在合同履行中出现争议，应先友好协商解决。协商不成的，可以向甲方所在地人民法院提起诉讼。因一方违约导致另一方为解决纠纷产生的诉讼费、律师费、财产保全费及担保费、鉴定费、公证费、评估费、差旅费等全部由违约方承担。</w:t>
      </w:r>
    </w:p>
    <w:p w14:paraId="0726B63E">
      <w:pPr>
        <w:spacing w:line="560" w:lineRule="exact"/>
        <w:ind w:firstLine="627" w:firstLineChars="196"/>
        <w:rPr>
          <w:rFonts w:ascii="Times New Roman" w:hAnsi="Times New Roman" w:eastAsia="仿宋"/>
          <w:b/>
          <w:bCs/>
          <w:color w:val="auto"/>
          <w:kern w:val="0"/>
          <w:sz w:val="32"/>
          <w:szCs w:val="32"/>
        </w:rPr>
      </w:pPr>
      <w:r>
        <w:rPr>
          <w:rFonts w:hint="eastAsia" w:ascii="Times New Roman" w:hAnsi="Times New Roman" w:eastAsia="仿宋"/>
          <w:b/>
          <w:bCs/>
          <w:color w:val="auto"/>
          <w:kern w:val="0"/>
          <w:sz w:val="32"/>
          <w:szCs w:val="32"/>
        </w:rPr>
        <w:t>九</w:t>
      </w:r>
      <w:r>
        <w:rPr>
          <w:rFonts w:ascii="Times New Roman" w:hAnsi="Times New Roman" w:eastAsia="仿宋"/>
          <w:b/>
          <w:bCs/>
          <w:color w:val="auto"/>
          <w:kern w:val="0"/>
          <w:sz w:val="32"/>
          <w:szCs w:val="32"/>
        </w:rPr>
        <w:t>、</w:t>
      </w:r>
      <w:r>
        <w:rPr>
          <w:rFonts w:hint="eastAsia" w:ascii="Times New Roman" w:hAnsi="Times New Roman" w:eastAsia="仿宋"/>
          <w:b/>
          <w:bCs/>
          <w:color w:val="auto"/>
          <w:kern w:val="0"/>
          <w:sz w:val="32"/>
          <w:szCs w:val="32"/>
        </w:rPr>
        <w:t>保密</w:t>
      </w:r>
    </w:p>
    <w:p w14:paraId="732A146E">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1</w:t>
      </w:r>
      <w:r>
        <w:rPr>
          <w:rFonts w:ascii="Times New Roman" w:hAnsi="Times New Roman" w:eastAsia="仿宋"/>
          <w:color w:val="auto"/>
          <w:spacing w:val="20"/>
          <w:sz w:val="32"/>
          <w:szCs w:val="32"/>
        </w:rPr>
        <w:t>、甲乙双方均应当对本合同的内容、因履行本合同或在本合同期间知悉的或收到的对方及其关联企业所有的商务、财务、技术、产品的信息、用户资料或其他标明保密的文件或信息（以下简称保密信息）予以保密，未经保密信息披露方事先书面同意，不得向本合同以外的任何第三方披露。</w:t>
      </w:r>
    </w:p>
    <w:p w14:paraId="305EAABC">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2、</w:t>
      </w:r>
      <w:r>
        <w:rPr>
          <w:rFonts w:ascii="Times New Roman" w:hAnsi="Times New Roman" w:eastAsia="仿宋"/>
          <w:color w:val="auto"/>
          <w:spacing w:val="20"/>
          <w:sz w:val="32"/>
          <w:szCs w:val="32"/>
        </w:rPr>
        <w:t>一方违反保密义务泄露另一方的保密信息的，造成另一方损失的，依法应当承担赔偿责任。</w:t>
      </w:r>
    </w:p>
    <w:p w14:paraId="3AC8C1FE">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3、</w:t>
      </w:r>
      <w:r>
        <w:rPr>
          <w:rFonts w:ascii="Times New Roman" w:hAnsi="Times New Roman" w:eastAsia="仿宋"/>
          <w:color w:val="auto"/>
          <w:spacing w:val="20"/>
          <w:sz w:val="32"/>
          <w:szCs w:val="32"/>
        </w:rPr>
        <w:t>本保密义务的保密期限为长期。本合同无效、解除或终止，均不影响保密条款的有效性。</w:t>
      </w:r>
    </w:p>
    <w:p w14:paraId="42C702FE">
      <w:pPr>
        <w:spacing w:line="560" w:lineRule="exact"/>
        <w:ind w:firstLine="627" w:firstLineChars="196"/>
        <w:rPr>
          <w:rFonts w:ascii="Times New Roman" w:hAnsi="Times New Roman" w:eastAsia="仿宋"/>
          <w:b/>
          <w:bCs/>
          <w:color w:val="auto"/>
          <w:kern w:val="0"/>
          <w:sz w:val="32"/>
          <w:szCs w:val="32"/>
        </w:rPr>
      </w:pPr>
      <w:r>
        <w:rPr>
          <w:rFonts w:hint="eastAsia" w:ascii="Times New Roman" w:hAnsi="Times New Roman" w:eastAsia="仿宋"/>
          <w:b/>
          <w:bCs/>
          <w:color w:val="auto"/>
          <w:kern w:val="0"/>
          <w:sz w:val="32"/>
          <w:szCs w:val="32"/>
        </w:rPr>
        <w:t>十</w:t>
      </w:r>
      <w:r>
        <w:rPr>
          <w:rFonts w:ascii="Times New Roman" w:hAnsi="Times New Roman" w:eastAsia="仿宋"/>
          <w:b/>
          <w:bCs/>
          <w:color w:val="auto"/>
          <w:kern w:val="0"/>
          <w:sz w:val="32"/>
          <w:szCs w:val="32"/>
        </w:rPr>
        <w:t>、其他</w:t>
      </w:r>
    </w:p>
    <w:p w14:paraId="5B55B921">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w:t>
      </w:r>
      <w:r>
        <w:rPr>
          <w:rFonts w:hint="eastAsia" w:ascii="Times New Roman" w:hAnsi="Times New Roman" w:eastAsia="仿宋"/>
          <w:color w:val="auto"/>
          <w:spacing w:val="20"/>
          <w:sz w:val="32"/>
          <w:szCs w:val="32"/>
        </w:rPr>
        <w:t>本合同交易流程：家</w:t>
      </w:r>
      <w:r>
        <w:rPr>
          <w:rFonts w:hint="eastAsia" w:ascii="Times New Roman" w:hAnsi="Times New Roman" w:eastAsia="仿宋"/>
          <w:color w:val="auto"/>
          <w:spacing w:val="20"/>
          <w:sz w:val="32"/>
          <w:szCs w:val="32"/>
          <w:u w:val="single"/>
        </w:rPr>
        <w:t>私包</w:t>
      </w:r>
      <w:r>
        <w:rPr>
          <w:rFonts w:hint="eastAsia" w:ascii="Times New Roman" w:hAnsi="Times New Roman" w:eastAsia="仿宋"/>
          <w:color w:val="auto"/>
          <w:spacing w:val="20"/>
          <w:sz w:val="32"/>
          <w:szCs w:val="32"/>
          <w:u w:val="single"/>
          <w:lang w:val="en-US" w:eastAsia="zh-CN"/>
        </w:rPr>
        <w:t>以</w:t>
      </w:r>
      <w:r>
        <w:rPr>
          <w:rFonts w:hint="eastAsia" w:ascii="Times New Roman" w:hAnsi="Times New Roman" w:eastAsia="仿宋"/>
          <w:color w:val="auto"/>
          <w:spacing w:val="20"/>
          <w:sz w:val="32"/>
          <w:szCs w:val="32"/>
          <w:u w:val="single"/>
        </w:rPr>
        <w:t>抵用券</w:t>
      </w:r>
      <w:r>
        <w:rPr>
          <w:rFonts w:hint="eastAsia" w:ascii="Times New Roman" w:hAnsi="Times New Roman" w:eastAsia="仿宋"/>
          <w:color w:val="auto"/>
          <w:spacing w:val="20"/>
          <w:sz w:val="32"/>
          <w:szCs w:val="32"/>
          <w:u w:val="single"/>
          <w:lang w:val="en-US" w:eastAsia="zh-CN"/>
        </w:rPr>
        <w:t>的形式采购</w:t>
      </w:r>
      <w:r>
        <w:rPr>
          <w:rFonts w:hint="eastAsia" w:ascii="Times New Roman" w:hAnsi="Times New Roman" w:eastAsia="仿宋"/>
          <w:color w:val="auto"/>
          <w:spacing w:val="20"/>
          <w:sz w:val="32"/>
          <w:szCs w:val="32"/>
          <w:u w:val="single"/>
        </w:rPr>
        <w:t>。</w:t>
      </w:r>
      <w:r>
        <w:rPr>
          <w:rFonts w:hint="eastAsia" w:ascii="Times New Roman" w:hAnsi="Times New Roman" w:eastAsia="仿宋"/>
          <w:color w:val="auto"/>
          <w:spacing w:val="20"/>
          <w:sz w:val="32"/>
          <w:szCs w:val="32"/>
        </w:rPr>
        <w:t>甲方安联尚璟府项目的业主与甲方签订房屋网签合同的同时，甲方发放抵用券给业主，业主持抵用券</w:t>
      </w:r>
      <w:r>
        <w:rPr>
          <w:rFonts w:hint="eastAsia" w:ascii="Times New Roman" w:hAnsi="Times New Roman" w:eastAsia="仿宋"/>
          <w:color w:val="auto"/>
          <w:spacing w:val="20"/>
          <w:sz w:val="32"/>
          <w:szCs w:val="32"/>
          <w:u w:val="single"/>
          <w:lang w:val="en-US" w:eastAsia="zh-CN"/>
        </w:rPr>
        <w:t>联</w:t>
      </w:r>
      <w:r>
        <w:rPr>
          <w:rFonts w:hint="eastAsia" w:ascii="Times New Roman" w:hAnsi="Times New Roman" w:eastAsia="仿宋"/>
          <w:color w:val="auto"/>
          <w:spacing w:val="20"/>
          <w:sz w:val="32"/>
          <w:szCs w:val="32"/>
          <w:u w:val="single"/>
        </w:rPr>
        <w:t>系</w:t>
      </w:r>
      <w:r>
        <w:rPr>
          <w:rFonts w:hint="eastAsia" w:ascii="Times New Roman" w:hAnsi="Times New Roman" w:eastAsia="仿宋"/>
          <w:color w:val="auto"/>
          <w:spacing w:val="20"/>
          <w:sz w:val="32"/>
          <w:szCs w:val="32"/>
        </w:rPr>
        <w:t>乙方制定家具、签订家具销售合同以及确定家具生产安装事宜。乙方供货后，按本合同约定持抵用券、业主签收、验收单等材料，向甲方申请结算家具款。结算时甲方将复核乙方提供的家具销售清单、业主验收单和抵用券，与签订的房屋网签合同是否为同一户，业主姓名及签名是否一致等，在收到乙方提交的结算申请单后【30】天内完成审核，审核无误后按合同约定时间支付款项。乙方按本合同第六条应承担的售后、质保义务，直接向业主履行。</w:t>
      </w:r>
    </w:p>
    <w:p w14:paraId="03237123">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2、本合同所称的业主，是指与甲方签订房屋买卖合同，购买甲方深圳安联尚璟府项目房产，且持有甲方抵用券的客户。</w:t>
      </w:r>
    </w:p>
    <w:p w14:paraId="67CA9C51">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3、</w:t>
      </w:r>
      <w:r>
        <w:rPr>
          <w:rFonts w:ascii="Times New Roman" w:hAnsi="Times New Roman" w:eastAsia="仿宋"/>
          <w:color w:val="auto"/>
          <w:spacing w:val="20"/>
          <w:sz w:val="32"/>
          <w:szCs w:val="32"/>
        </w:rPr>
        <w:t>本合同的未尽事宜及本合同在履行过程中需变更的事宜，双方应通过订立补充条款或补充协议进行约定。本合同的补充条款、补充协议及附件均为本合同不可分割的部分。</w:t>
      </w:r>
    </w:p>
    <w:p w14:paraId="62DBCBA8">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4</w:t>
      </w:r>
      <w:r>
        <w:rPr>
          <w:rFonts w:ascii="Times New Roman" w:hAnsi="Times New Roman" w:eastAsia="仿宋"/>
          <w:color w:val="auto"/>
          <w:spacing w:val="20"/>
          <w:sz w:val="32"/>
          <w:szCs w:val="32"/>
        </w:rPr>
        <w:t>、本合同中签约双方提供的联系方式在合同期内均真实有效，如发生变更，变更一方应提前以书面形式告知对方，因联系方式不真实、变更未告知或一方拒收等原因导致对方通知无法送达的，视为已经送达，由接收方承担所有不利后果。双方同意，本条约定的联系方式适用于后续诉讼。</w:t>
      </w:r>
    </w:p>
    <w:p w14:paraId="2520CC04">
      <w:pPr>
        <w:spacing w:line="560" w:lineRule="exact"/>
        <w:ind w:firstLine="720" w:firstLineChars="200"/>
        <w:rPr>
          <w:rFonts w:ascii="Times New Roman" w:hAnsi="Times New Roman" w:eastAsia="仿宋"/>
          <w:color w:val="auto"/>
          <w:spacing w:val="20"/>
          <w:sz w:val="32"/>
          <w:szCs w:val="32"/>
        </w:rPr>
      </w:pPr>
      <w:r>
        <w:rPr>
          <w:rFonts w:hint="eastAsia" w:ascii="Times New Roman" w:hAnsi="Times New Roman" w:eastAsia="仿宋"/>
          <w:color w:val="auto"/>
          <w:spacing w:val="20"/>
          <w:sz w:val="32"/>
          <w:szCs w:val="32"/>
        </w:rPr>
        <w:t>5</w:t>
      </w:r>
      <w:r>
        <w:rPr>
          <w:rFonts w:ascii="Times New Roman" w:hAnsi="Times New Roman" w:eastAsia="仿宋"/>
          <w:color w:val="auto"/>
          <w:spacing w:val="20"/>
          <w:sz w:val="32"/>
          <w:szCs w:val="32"/>
        </w:rPr>
        <w:t>、本协议一式陆份，经甲乙双方签字并盖章后生效，甲方执肆份，乙方执贰份，具同等法律效力。</w:t>
      </w:r>
    </w:p>
    <w:p w14:paraId="7D9476FF">
      <w:pPr>
        <w:spacing w:line="560" w:lineRule="exact"/>
        <w:rPr>
          <w:rFonts w:ascii="Times New Roman" w:hAnsi="Times New Roman" w:eastAsia="仿宋"/>
          <w:color w:val="auto"/>
          <w:spacing w:val="20"/>
          <w:sz w:val="28"/>
          <w:szCs w:val="28"/>
        </w:rPr>
      </w:pPr>
      <w:r>
        <w:rPr>
          <w:rFonts w:ascii="Times New Roman" w:hAnsi="Times New Roman" w:eastAsia="仿宋"/>
          <w:color w:val="auto"/>
          <w:spacing w:val="20"/>
          <w:sz w:val="28"/>
          <w:szCs w:val="28"/>
        </w:rPr>
        <w:t>（以下无正文）</w:t>
      </w:r>
    </w:p>
    <w:tbl>
      <w:tblPr>
        <w:tblStyle w:val="20"/>
        <w:tblW w:w="5362" w:type="pct"/>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614"/>
        <w:gridCol w:w="4626"/>
      </w:tblGrid>
      <w:tr w14:paraId="4BDED1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25" w:hRule="atLeast"/>
        </w:trPr>
        <w:tc>
          <w:tcPr>
            <w:tcW w:w="2497" w:type="pct"/>
            <w:tcBorders>
              <w:top w:val="nil"/>
              <w:left w:val="nil"/>
              <w:bottom w:val="nil"/>
              <w:right w:val="nil"/>
            </w:tcBorders>
          </w:tcPr>
          <w:p w14:paraId="43A601A8">
            <w:pPr>
              <w:widowControl/>
              <w:spacing w:line="480" w:lineRule="exact"/>
              <w:rPr>
                <w:rFonts w:ascii="Times New Roman" w:hAnsi="Times New Roman"/>
                <w:color w:val="auto"/>
                <w:sz w:val="24"/>
              </w:rPr>
            </w:pPr>
            <w:r>
              <w:rPr>
                <w:rFonts w:ascii="Times New Roman" w:hAnsi="Times New Roman"/>
                <w:color w:val="auto"/>
                <w:sz w:val="24"/>
              </w:rPr>
              <w:t>甲方：（盖章）</w:t>
            </w:r>
          </w:p>
          <w:p w14:paraId="529A6EF5">
            <w:pPr>
              <w:spacing w:line="480" w:lineRule="exact"/>
              <w:ind w:firstLine="480" w:firstLineChars="200"/>
              <w:rPr>
                <w:rFonts w:ascii="Times New Roman" w:hAnsi="Times New Roman"/>
                <w:color w:val="auto"/>
                <w:sz w:val="24"/>
              </w:rPr>
            </w:pPr>
          </w:p>
        </w:tc>
        <w:tc>
          <w:tcPr>
            <w:tcW w:w="2502" w:type="pct"/>
            <w:tcBorders>
              <w:top w:val="nil"/>
              <w:left w:val="nil"/>
              <w:bottom w:val="nil"/>
              <w:right w:val="nil"/>
            </w:tcBorders>
          </w:tcPr>
          <w:p w14:paraId="099FA08C">
            <w:pPr>
              <w:spacing w:line="480" w:lineRule="exact"/>
              <w:rPr>
                <w:rFonts w:ascii="Times New Roman" w:hAnsi="Times New Roman"/>
                <w:color w:val="auto"/>
                <w:sz w:val="24"/>
                <w:lang w:bidi="ar"/>
              </w:rPr>
            </w:pPr>
            <w:r>
              <w:rPr>
                <w:rFonts w:ascii="Times New Roman" w:hAnsi="Times New Roman"/>
                <w:color w:val="auto"/>
                <w:sz w:val="24"/>
                <w:lang w:bidi="ar"/>
              </w:rPr>
              <w:t>乙方：（盖章）</w:t>
            </w:r>
          </w:p>
        </w:tc>
      </w:tr>
      <w:tr w14:paraId="50FC285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504" w:hRule="atLeast"/>
        </w:trPr>
        <w:tc>
          <w:tcPr>
            <w:tcW w:w="2497" w:type="pct"/>
            <w:tcBorders>
              <w:top w:val="nil"/>
              <w:left w:val="nil"/>
              <w:bottom w:val="nil"/>
              <w:right w:val="nil"/>
            </w:tcBorders>
          </w:tcPr>
          <w:p w14:paraId="3E22C4F7">
            <w:pPr>
              <w:widowControl/>
              <w:spacing w:line="480" w:lineRule="exact"/>
              <w:rPr>
                <w:rFonts w:ascii="Times New Roman" w:hAnsi="Times New Roman"/>
                <w:color w:val="auto"/>
                <w:sz w:val="24"/>
              </w:rPr>
            </w:pPr>
            <w:r>
              <w:rPr>
                <w:rFonts w:ascii="Times New Roman" w:hAnsi="Times New Roman"/>
                <w:color w:val="auto"/>
                <w:sz w:val="24"/>
              </w:rPr>
              <w:t>法定代表人或</w:t>
            </w:r>
            <w:r>
              <w:rPr>
                <w:rFonts w:ascii="Times New Roman" w:hAnsi="Times New Roman"/>
                <w:color w:val="auto"/>
                <w:sz w:val="24"/>
              </w:rPr>
              <w:br w:type="textWrapping"/>
            </w:r>
            <w:r>
              <w:rPr>
                <w:rFonts w:ascii="Times New Roman" w:hAnsi="Times New Roman"/>
                <w:color w:val="auto"/>
                <w:sz w:val="24"/>
              </w:rPr>
              <w:t>委托代理人：</w:t>
            </w:r>
          </w:p>
          <w:p w14:paraId="56EB135E">
            <w:pPr>
              <w:widowControl/>
              <w:spacing w:line="480" w:lineRule="exact"/>
              <w:rPr>
                <w:rFonts w:ascii="Times New Roman" w:hAnsi="Times New Roman"/>
                <w:color w:val="auto"/>
                <w:sz w:val="24"/>
              </w:rPr>
            </w:pPr>
            <w:r>
              <w:rPr>
                <w:rFonts w:ascii="Times New Roman" w:hAnsi="Times New Roman"/>
                <w:color w:val="auto"/>
                <w:sz w:val="24"/>
              </w:rPr>
              <w:t>（签字）</w:t>
            </w:r>
          </w:p>
        </w:tc>
        <w:tc>
          <w:tcPr>
            <w:tcW w:w="2502" w:type="pct"/>
            <w:tcBorders>
              <w:top w:val="nil"/>
              <w:left w:val="nil"/>
              <w:bottom w:val="nil"/>
              <w:right w:val="nil"/>
            </w:tcBorders>
          </w:tcPr>
          <w:p w14:paraId="1352DC9C">
            <w:pPr>
              <w:spacing w:line="480" w:lineRule="exact"/>
              <w:rPr>
                <w:rFonts w:ascii="Times New Roman" w:hAnsi="Times New Roman"/>
                <w:color w:val="auto"/>
                <w:sz w:val="24"/>
                <w:lang w:bidi="ar"/>
              </w:rPr>
            </w:pPr>
            <w:r>
              <w:rPr>
                <w:rFonts w:ascii="Times New Roman" w:hAnsi="Times New Roman"/>
                <w:color w:val="auto"/>
                <w:sz w:val="24"/>
                <w:lang w:bidi="ar"/>
              </w:rPr>
              <w:t>法定代表人或</w:t>
            </w:r>
            <w:r>
              <w:rPr>
                <w:rFonts w:ascii="Times New Roman" w:hAnsi="Times New Roman"/>
                <w:color w:val="auto"/>
                <w:sz w:val="24"/>
                <w:lang w:bidi="ar"/>
              </w:rPr>
              <w:br w:type="textWrapping"/>
            </w:r>
            <w:r>
              <w:rPr>
                <w:rFonts w:ascii="Times New Roman" w:hAnsi="Times New Roman"/>
                <w:color w:val="auto"/>
                <w:sz w:val="24"/>
                <w:lang w:bidi="ar"/>
              </w:rPr>
              <w:t>委托代理人：</w:t>
            </w:r>
          </w:p>
          <w:p w14:paraId="6CE60FE1">
            <w:pPr>
              <w:spacing w:line="480" w:lineRule="exact"/>
              <w:rPr>
                <w:rFonts w:ascii="Times New Roman" w:hAnsi="Times New Roman"/>
                <w:color w:val="auto"/>
                <w:sz w:val="24"/>
                <w:lang w:bidi="ar"/>
              </w:rPr>
            </w:pPr>
            <w:r>
              <w:rPr>
                <w:rFonts w:ascii="Times New Roman" w:hAnsi="Times New Roman"/>
                <w:color w:val="auto"/>
                <w:sz w:val="24"/>
                <w:lang w:bidi="ar"/>
              </w:rPr>
              <w:t>（签字）</w:t>
            </w:r>
          </w:p>
        </w:tc>
      </w:tr>
      <w:tr w14:paraId="29DA635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51" w:hRule="atLeast"/>
        </w:trPr>
        <w:tc>
          <w:tcPr>
            <w:tcW w:w="2497" w:type="pct"/>
            <w:tcBorders>
              <w:top w:val="nil"/>
              <w:left w:val="nil"/>
              <w:bottom w:val="nil"/>
              <w:right w:val="nil"/>
            </w:tcBorders>
          </w:tcPr>
          <w:p w14:paraId="74A395BF">
            <w:pPr>
              <w:widowControl/>
              <w:spacing w:line="480" w:lineRule="exact"/>
              <w:rPr>
                <w:rFonts w:ascii="Times New Roman" w:hAnsi="Times New Roman"/>
                <w:color w:val="auto"/>
                <w:kern w:val="0"/>
                <w:sz w:val="24"/>
                <w:lang w:bidi="ar"/>
              </w:rPr>
            </w:pPr>
            <w:r>
              <w:rPr>
                <w:rFonts w:ascii="Times New Roman" w:hAnsi="Times New Roman"/>
                <w:color w:val="auto"/>
                <w:kern w:val="0"/>
                <w:sz w:val="24"/>
                <w:lang w:bidi="ar"/>
              </w:rPr>
              <w:t>单位地址：</w:t>
            </w:r>
          </w:p>
        </w:tc>
        <w:tc>
          <w:tcPr>
            <w:tcW w:w="2502" w:type="pct"/>
            <w:tcBorders>
              <w:top w:val="nil"/>
              <w:left w:val="nil"/>
              <w:bottom w:val="nil"/>
              <w:right w:val="nil"/>
            </w:tcBorders>
          </w:tcPr>
          <w:p w14:paraId="42B4B6EC">
            <w:pPr>
              <w:spacing w:line="480" w:lineRule="exact"/>
              <w:rPr>
                <w:rFonts w:ascii="Times New Roman" w:hAnsi="Times New Roman"/>
                <w:color w:val="auto"/>
                <w:kern w:val="0"/>
                <w:sz w:val="24"/>
                <w:lang w:bidi="ar"/>
              </w:rPr>
            </w:pPr>
            <w:r>
              <w:rPr>
                <w:rFonts w:ascii="Times New Roman" w:hAnsi="Times New Roman"/>
                <w:color w:val="auto"/>
                <w:sz w:val="24"/>
                <w:lang w:bidi="ar"/>
              </w:rPr>
              <w:t>单位地址：</w:t>
            </w:r>
          </w:p>
        </w:tc>
      </w:tr>
      <w:tr w14:paraId="054E64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2497" w:type="pct"/>
            <w:tcBorders>
              <w:top w:val="nil"/>
              <w:left w:val="nil"/>
              <w:bottom w:val="nil"/>
              <w:right w:val="nil"/>
            </w:tcBorders>
          </w:tcPr>
          <w:p w14:paraId="3A22A247">
            <w:pPr>
              <w:widowControl/>
              <w:spacing w:line="480" w:lineRule="exact"/>
              <w:rPr>
                <w:rFonts w:ascii="Times New Roman" w:hAnsi="Times New Roman"/>
                <w:color w:val="auto"/>
                <w:sz w:val="24"/>
                <w:lang w:bidi="ar"/>
              </w:rPr>
            </w:pPr>
          </w:p>
        </w:tc>
        <w:tc>
          <w:tcPr>
            <w:tcW w:w="2502" w:type="pct"/>
            <w:tcBorders>
              <w:top w:val="nil"/>
              <w:left w:val="nil"/>
              <w:bottom w:val="nil"/>
              <w:right w:val="nil"/>
            </w:tcBorders>
          </w:tcPr>
          <w:p w14:paraId="5DB8602C">
            <w:pPr>
              <w:spacing w:line="480" w:lineRule="exact"/>
              <w:rPr>
                <w:rFonts w:ascii="Times New Roman" w:hAnsi="Times New Roman"/>
                <w:color w:val="auto"/>
                <w:sz w:val="24"/>
                <w:lang w:bidi="ar"/>
              </w:rPr>
            </w:pPr>
            <w:r>
              <w:rPr>
                <w:rFonts w:ascii="Times New Roman" w:hAnsi="Times New Roman"/>
                <w:color w:val="auto"/>
                <w:sz w:val="24"/>
                <w:lang w:bidi="ar"/>
              </w:rPr>
              <w:t>开户名：</w:t>
            </w:r>
          </w:p>
        </w:tc>
      </w:tr>
      <w:tr w14:paraId="37F5F00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7" w:hRule="atLeast"/>
        </w:trPr>
        <w:tc>
          <w:tcPr>
            <w:tcW w:w="2497" w:type="pct"/>
            <w:tcBorders>
              <w:top w:val="nil"/>
              <w:left w:val="nil"/>
              <w:bottom w:val="nil"/>
              <w:right w:val="nil"/>
            </w:tcBorders>
          </w:tcPr>
          <w:p w14:paraId="2B7D1C9B">
            <w:pPr>
              <w:widowControl/>
              <w:spacing w:line="480" w:lineRule="exact"/>
              <w:rPr>
                <w:rFonts w:ascii="Times New Roman" w:hAnsi="Times New Roman"/>
                <w:color w:val="auto"/>
                <w:sz w:val="24"/>
                <w:lang w:bidi="ar"/>
              </w:rPr>
            </w:pPr>
          </w:p>
        </w:tc>
        <w:tc>
          <w:tcPr>
            <w:tcW w:w="2502" w:type="pct"/>
            <w:tcBorders>
              <w:top w:val="nil"/>
              <w:left w:val="nil"/>
              <w:bottom w:val="nil"/>
              <w:right w:val="nil"/>
            </w:tcBorders>
          </w:tcPr>
          <w:p w14:paraId="79BF38E0">
            <w:pPr>
              <w:spacing w:line="480" w:lineRule="exact"/>
              <w:rPr>
                <w:rFonts w:ascii="Times New Roman" w:hAnsi="Times New Roman"/>
                <w:color w:val="auto"/>
                <w:sz w:val="24"/>
                <w:lang w:bidi="ar"/>
              </w:rPr>
            </w:pPr>
            <w:r>
              <w:rPr>
                <w:rFonts w:ascii="Times New Roman" w:hAnsi="Times New Roman"/>
                <w:color w:val="auto"/>
                <w:sz w:val="24"/>
                <w:lang w:bidi="ar"/>
              </w:rPr>
              <w:t>开户银行：</w:t>
            </w:r>
          </w:p>
        </w:tc>
      </w:tr>
      <w:tr w14:paraId="0B5BC6D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8" w:hRule="atLeast"/>
        </w:trPr>
        <w:tc>
          <w:tcPr>
            <w:tcW w:w="2497" w:type="pct"/>
            <w:tcBorders>
              <w:top w:val="nil"/>
              <w:left w:val="nil"/>
              <w:bottom w:val="nil"/>
              <w:right w:val="nil"/>
            </w:tcBorders>
          </w:tcPr>
          <w:p w14:paraId="7105D963">
            <w:pPr>
              <w:widowControl/>
              <w:spacing w:line="480" w:lineRule="exact"/>
              <w:rPr>
                <w:rFonts w:ascii="Times New Roman" w:hAnsi="Times New Roman"/>
                <w:color w:val="auto"/>
                <w:sz w:val="24"/>
                <w:lang w:bidi="ar"/>
              </w:rPr>
            </w:pPr>
          </w:p>
        </w:tc>
        <w:tc>
          <w:tcPr>
            <w:tcW w:w="2502" w:type="pct"/>
            <w:tcBorders>
              <w:top w:val="nil"/>
              <w:left w:val="nil"/>
              <w:bottom w:val="nil"/>
              <w:right w:val="nil"/>
            </w:tcBorders>
          </w:tcPr>
          <w:p w14:paraId="0871A88C">
            <w:pPr>
              <w:spacing w:line="480" w:lineRule="exact"/>
              <w:rPr>
                <w:rFonts w:ascii="Times New Roman" w:hAnsi="Times New Roman"/>
                <w:color w:val="auto"/>
                <w:sz w:val="24"/>
                <w:lang w:bidi="ar"/>
              </w:rPr>
            </w:pPr>
            <w:r>
              <w:rPr>
                <w:rFonts w:ascii="Times New Roman" w:hAnsi="Times New Roman"/>
                <w:color w:val="auto"/>
                <w:sz w:val="24"/>
                <w:lang w:bidi="ar"/>
              </w:rPr>
              <w:t>银行</w:t>
            </w:r>
            <w:r>
              <w:rPr>
                <w:rFonts w:hint="eastAsia" w:ascii="Times New Roman" w:hAnsi="Times New Roman"/>
                <w:color w:val="auto"/>
                <w:sz w:val="24"/>
                <w:lang w:bidi="ar"/>
              </w:rPr>
              <w:t>账</w:t>
            </w:r>
            <w:r>
              <w:rPr>
                <w:rFonts w:ascii="Times New Roman" w:hAnsi="Times New Roman"/>
                <w:color w:val="auto"/>
                <w:sz w:val="24"/>
                <w:lang w:bidi="ar"/>
              </w:rPr>
              <w:t>号：</w:t>
            </w:r>
          </w:p>
        </w:tc>
      </w:tr>
      <w:tr w14:paraId="7321345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99" w:hRule="atLeast"/>
        </w:trPr>
        <w:tc>
          <w:tcPr>
            <w:tcW w:w="5000" w:type="pct"/>
            <w:gridSpan w:val="2"/>
            <w:tcBorders>
              <w:top w:val="nil"/>
              <w:left w:val="nil"/>
              <w:bottom w:val="nil"/>
              <w:right w:val="nil"/>
            </w:tcBorders>
          </w:tcPr>
          <w:p w14:paraId="5AE73676">
            <w:pPr>
              <w:widowControl/>
              <w:spacing w:line="480" w:lineRule="exact"/>
              <w:ind w:firstLine="480" w:firstLineChars="200"/>
              <w:jc w:val="center"/>
              <w:rPr>
                <w:rFonts w:ascii="Times New Roman" w:hAnsi="Times New Roman"/>
                <w:color w:val="auto"/>
                <w:kern w:val="0"/>
                <w:sz w:val="24"/>
                <w:lang w:bidi="ar"/>
              </w:rPr>
            </w:pPr>
            <w:r>
              <w:rPr>
                <w:rFonts w:ascii="Times New Roman" w:hAnsi="Times New Roman"/>
                <w:color w:val="auto"/>
                <w:kern w:val="0"/>
                <w:sz w:val="24"/>
                <w:lang w:bidi="ar"/>
              </w:rPr>
              <w:t>签订日期：  年  月   日</w:t>
            </w:r>
          </w:p>
        </w:tc>
      </w:tr>
      <w:bookmarkEnd w:id="131"/>
      <w:bookmarkEnd w:id="132"/>
      <w:bookmarkEnd w:id="133"/>
    </w:tbl>
    <w:p w14:paraId="5BE1E7E3">
      <w:pPr>
        <w:spacing w:line="560" w:lineRule="exact"/>
        <w:rPr>
          <w:rFonts w:ascii="Times New Roman" w:hAnsi="Times New Roman" w:eastAsia="仿宋"/>
          <w:b/>
          <w:color w:val="auto"/>
          <w:sz w:val="28"/>
          <w:szCs w:val="28"/>
        </w:rPr>
      </w:pPr>
      <w:bookmarkStart w:id="134" w:name="_Toc5989"/>
      <w:r>
        <w:rPr>
          <w:rFonts w:ascii="Times New Roman" w:hAnsi="Times New Roman" w:eastAsia="仿宋"/>
          <w:b/>
          <w:color w:val="auto"/>
          <w:sz w:val="28"/>
          <w:szCs w:val="28"/>
        </w:rPr>
        <w:br w:type="page"/>
      </w:r>
      <w:r>
        <w:rPr>
          <w:rFonts w:ascii="Times New Roman" w:hAnsi="Times New Roman" w:eastAsia="仿宋"/>
          <w:b/>
          <w:color w:val="auto"/>
          <w:sz w:val="28"/>
          <w:szCs w:val="28"/>
        </w:rPr>
        <w:t>附件1：</w:t>
      </w:r>
      <w:bookmarkEnd w:id="134"/>
    </w:p>
    <w:p w14:paraId="0489DA17">
      <w:pPr>
        <w:adjustRightInd w:val="0"/>
        <w:snapToGrid w:val="0"/>
        <w:spacing w:line="560" w:lineRule="exact"/>
        <w:jc w:val="center"/>
        <w:rPr>
          <w:rFonts w:ascii="Times New Roman" w:hAnsi="Times New Roman" w:eastAsia="微软雅黑"/>
          <w:bCs/>
          <w:color w:val="auto"/>
          <w:sz w:val="44"/>
          <w:szCs w:val="44"/>
        </w:rPr>
      </w:pPr>
      <w:r>
        <w:rPr>
          <w:rFonts w:ascii="Times New Roman" w:hAnsi="Times New Roman" w:eastAsia="微软雅黑"/>
          <w:bCs/>
          <w:color w:val="auto"/>
          <w:sz w:val="44"/>
          <w:szCs w:val="44"/>
        </w:rPr>
        <w:t>廉政合同</w:t>
      </w:r>
    </w:p>
    <w:p w14:paraId="37806A0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为抓好党风廉政建设，规范、约束采供双方行为，确保双方工作人员廉洁从业，</w:t>
      </w:r>
      <w:r>
        <w:rPr>
          <w:rFonts w:hint="eastAsia" w:ascii="Times New Roman" w:hAnsi="Times New Roman" w:eastAsia="仿宋"/>
          <w:color w:val="auto"/>
          <w:spacing w:val="20"/>
          <w:sz w:val="32"/>
          <w:szCs w:val="32"/>
          <w:u w:val="single"/>
        </w:rPr>
        <w:t>深圳安联尚璟府项目阶段性软装家装类框架采购（2025年度）</w:t>
      </w:r>
      <w:r>
        <w:rPr>
          <w:rFonts w:ascii="Times New Roman" w:hAnsi="Times New Roman" w:eastAsia="仿宋"/>
          <w:color w:val="auto"/>
          <w:spacing w:val="20"/>
          <w:sz w:val="32"/>
          <w:szCs w:val="32"/>
        </w:rPr>
        <w:t>（项目名称）的采购人</w:t>
      </w:r>
      <w:r>
        <w:rPr>
          <w:rFonts w:hint="eastAsia" w:ascii="Times New Roman" w:hAnsi="Times New Roman" w:eastAsia="仿宋"/>
          <w:color w:val="auto"/>
          <w:spacing w:val="20"/>
          <w:sz w:val="32"/>
          <w:szCs w:val="32"/>
          <w:u w:val="single"/>
        </w:rPr>
        <w:t>深圳市安之联置业有限公司</w:t>
      </w:r>
      <w:r>
        <w:rPr>
          <w:rFonts w:ascii="Times New Roman" w:hAnsi="Times New Roman" w:eastAsia="仿宋"/>
          <w:color w:val="auto"/>
          <w:spacing w:val="20"/>
          <w:sz w:val="32"/>
          <w:szCs w:val="32"/>
        </w:rPr>
        <w:t>（以下简称甲方）与该项目的成交人</w:t>
      </w:r>
      <w:r>
        <w:rPr>
          <w:rFonts w:ascii="Times New Roman" w:hAnsi="Times New Roman" w:eastAsia="仿宋"/>
          <w:color w:val="auto"/>
          <w:spacing w:val="20"/>
          <w:sz w:val="32"/>
          <w:szCs w:val="32"/>
          <w:u w:val="single"/>
        </w:rPr>
        <w:t xml:space="preserve">         </w:t>
      </w:r>
      <w:r>
        <w:rPr>
          <w:rFonts w:ascii="Times New Roman" w:hAnsi="Times New Roman" w:eastAsia="仿宋"/>
          <w:color w:val="auto"/>
          <w:spacing w:val="20"/>
          <w:sz w:val="32"/>
          <w:szCs w:val="32"/>
        </w:rPr>
        <w:t>（以下简称乙方），特订立如下合同。</w:t>
      </w:r>
    </w:p>
    <w:p w14:paraId="5470D8A0">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1.甲乙双方的权利和义务</w:t>
      </w:r>
    </w:p>
    <w:p w14:paraId="0833478C">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（1）严格遵守党的政策和国家有关法律法规的有关规定。</w:t>
      </w:r>
    </w:p>
    <w:p w14:paraId="324C7C09">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（2）严格执行合同文件，自觉按合同办事。</w:t>
      </w:r>
    </w:p>
    <w:p w14:paraId="3B3F254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（3）双方的业务活动坚持公开、公正、诚信、透明的原则（法律认定的商业秘密和合同文件另有规定除外），不得损害国家和集体利益。</w:t>
      </w:r>
    </w:p>
    <w:p w14:paraId="00853377">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（4）建立健全廉政制度，开展廉政教育和廉洁文化建设，公布举报电话，监督并认真查处违规违纪违法行为。</w:t>
      </w:r>
    </w:p>
    <w:p w14:paraId="11141195">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（5）发现对方在业务活动中有违反廉政规定的行为，有及时提醒对方纠正的权利和义务。</w:t>
      </w:r>
    </w:p>
    <w:p w14:paraId="49F3413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（6）发现对方严重违反本合同义务条款的行为，有向有关部门举报、建议给予处理并要求告知处理结果的权利。</w:t>
      </w:r>
    </w:p>
    <w:p w14:paraId="1418E5C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2.甲方的义务</w:t>
      </w:r>
    </w:p>
    <w:p w14:paraId="1A330351">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（1）甲方及其工作人员不得利用职务之便索要或接受乙方的礼品、礼金、消费卡和有价证券、股权、其他金融产品等财物。</w:t>
      </w:r>
    </w:p>
    <w:p w14:paraId="32130AF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（2）甲方及其工作人员不得在利用职务之便为乙方谋取利益之前或之后，约定在其离职后收受乙方财物，并在离职后收受。</w:t>
      </w:r>
    </w:p>
    <w:p w14:paraId="1F98D66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（3）甲方及其工作人员不得在乙方报销应由甲方或个人支付的费用等。</w:t>
      </w:r>
    </w:p>
    <w:p w14:paraId="45665FD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（4）甲方及其工作人员不得要求或者接受乙方可能影响公正执行公务的宴请以及旅游、健身、娱乐等活动安排，不得要求和接受乙方提供的交通工具、通讯工具、高档办公用品等。</w:t>
      </w:r>
    </w:p>
    <w:p w14:paraId="0376E7C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甲方及其工作人员不得要求或者接受乙方为其住房装修、婚丧嫁娶、特定关系人的工作安排以及出国、旅游提供方便等；不得要求乙方及其工作人员为自己的特定关系人以安排工作为名，使其不实际工作却获取薪酬。</w:t>
      </w:r>
    </w:p>
    <w:p w14:paraId="03A6E47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 xml:space="preserve">（6）甲方及其工作人员不得要求乙方购买合同规定外的材料和设备。    </w:t>
      </w:r>
    </w:p>
    <w:p w14:paraId="34973F8F">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（7）甲方及其工作人员不得有其他可能影响廉洁从业的行为。</w:t>
      </w:r>
    </w:p>
    <w:p w14:paraId="296E2FBC">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3.乙方义务</w:t>
      </w:r>
    </w:p>
    <w:p w14:paraId="032A108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（1）乙方及其工作人员不得以任何形式向甲方及其工作人员行贿或馈赠礼品、礼金、消费卡和有价证券、股权、其他金融产品等财物，以及回扣、好处费、感谢费等。</w:t>
      </w:r>
    </w:p>
    <w:p w14:paraId="7FC89441">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（2）乙方及其工作人员不得与甲方及其工作人员约定，甲方及其工作人员利用职务之便为乙方谋取利益，乙方在其离职后给予财物。</w:t>
      </w:r>
    </w:p>
    <w:p w14:paraId="4CEC8EEE">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（3）乙方不得以任何名义为甲方及其工作人员报销由甲方单位或个人支付的任何费用。</w:t>
      </w:r>
    </w:p>
    <w:p w14:paraId="2A34210C">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（4）乙方及其工作人员不得以任何理由邀请甲方工作人员参与可能影响公正执行公务的宴请以及旅游、健身、娱乐等活动。不得为甲方单位和个人购置或提供通讯工具、交通工具和高档办公用品等。</w:t>
      </w:r>
    </w:p>
    <w:p w14:paraId="2CE48202">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（5）乙方及其工作人员不得为甲方工作人员住房装修、婚丧嫁娶、出国出境、旅游等提供方便；不得为甲方工作人员的特定关系人以安排工作为名，使其不实际工作却获取薪酬。</w:t>
      </w:r>
    </w:p>
    <w:p w14:paraId="555C467D">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（6）甲方及其工作人员不得有其他可能影响廉洁从业的行为。</w:t>
      </w:r>
    </w:p>
    <w:p w14:paraId="5009195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4.违约责任</w:t>
      </w:r>
    </w:p>
    <w:p w14:paraId="081E79C6">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（1）甲方及其工作人员违反本合同第1、2条，按管理权限，依据有关规定给予党纪政务处分和组织处理；涉嫌犯罪的，移交司法机关追究刑事责任；给乙方单位造成经济损失的，应予以赔偿。</w:t>
      </w:r>
    </w:p>
    <w:p w14:paraId="14325FDF">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（2）乙方及其工作人员违反本合同第1、3条，按管理权限，依据有关规定，给予相关处理；给甲方单位造成经济损失的，应予以赔偿。</w:t>
      </w:r>
    </w:p>
    <w:p w14:paraId="6B94B7AA">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5.本合同有效期为甲乙双方签署之日起至该合同履行完毕后止。</w:t>
      </w:r>
    </w:p>
    <w:p w14:paraId="4356E3CD">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6.本合同作为</w:t>
      </w:r>
      <w:r>
        <w:rPr>
          <w:rFonts w:hint="eastAsia" w:ascii="Times New Roman" w:hAnsi="Times New Roman" w:eastAsia="仿宋"/>
          <w:color w:val="auto"/>
          <w:spacing w:val="20"/>
          <w:sz w:val="32"/>
          <w:szCs w:val="32"/>
          <w:u w:val="single"/>
        </w:rPr>
        <w:t>深圳安联尚璟府项目阶段性软装家装类框架采购（2025年度）</w:t>
      </w:r>
      <w:r>
        <w:rPr>
          <w:rFonts w:ascii="Times New Roman" w:hAnsi="Times New Roman" w:eastAsia="仿宋"/>
          <w:color w:val="auto"/>
          <w:spacing w:val="20"/>
          <w:sz w:val="32"/>
          <w:szCs w:val="32"/>
          <w:u w:val="single"/>
        </w:rPr>
        <w:t>合同</w:t>
      </w:r>
      <w:r>
        <w:rPr>
          <w:rFonts w:ascii="Times New Roman" w:hAnsi="Times New Roman" w:eastAsia="仿宋"/>
          <w:color w:val="auto"/>
          <w:spacing w:val="20"/>
          <w:sz w:val="32"/>
          <w:szCs w:val="32"/>
        </w:rPr>
        <w:t>（合同文件名称）的附件，与采购合同具有同等的法律效力，经合同双方签署立即生效。</w:t>
      </w:r>
    </w:p>
    <w:p w14:paraId="776E10CD">
      <w:pPr>
        <w:spacing w:line="560" w:lineRule="exact"/>
        <w:ind w:firstLine="720" w:firstLineChars="200"/>
        <w:rPr>
          <w:rFonts w:ascii="Times New Roman" w:hAnsi="Times New Roman" w:eastAsia="仿宋"/>
          <w:color w:val="auto"/>
          <w:spacing w:val="20"/>
          <w:sz w:val="32"/>
          <w:szCs w:val="32"/>
        </w:rPr>
      </w:pPr>
      <w:r>
        <w:rPr>
          <w:rFonts w:ascii="Times New Roman" w:hAnsi="Times New Roman" w:eastAsia="仿宋"/>
          <w:color w:val="auto"/>
          <w:spacing w:val="20"/>
          <w:sz w:val="32"/>
          <w:szCs w:val="32"/>
        </w:rPr>
        <w:t>7.本合同一式</w:t>
      </w:r>
      <w:r>
        <w:rPr>
          <w:rFonts w:ascii="Times New Roman" w:hAnsi="Times New Roman" w:eastAsia="仿宋"/>
          <w:color w:val="auto"/>
          <w:spacing w:val="20"/>
          <w:sz w:val="32"/>
          <w:szCs w:val="32"/>
          <w:u w:val="single"/>
        </w:rPr>
        <w:t>陆</w:t>
      </w:r>
      <w:r>
        <w:rPr>
          <w:rFonts w:ascii="Times New Roman" w:hAnsi="Times New Roman" w:eastAsia="仿宋"/>
          <w:color w:val="auto"/>
          <w:spacing w:val="20"/>
          <w:sz w:val="32"/>
          <w:szCs w:val="32"/>
        </w:rPr>
        <w:t>份，由甲方执</w:t>
      </w:r>
      <w:r>
        <w:rPr>
          <w:rFonts w:ascii="Times New Roman" w:hAnsi="Times New Roman" w:eastAsia="仿宋"/>
          <w:color w:val="auto"/>
          <w:spacing w:val="20"/>
          <w:sz w:val="32"/>
          <w:szCs w:val="32"/>
          <w:u w:val="single"/>
        </w:rPr>
        <w:t>肆</w:t>
      </w:r>
      <w:r>
        <w:rPr>
          <w:rFonts w:ascii="Times New Roman" w:hAnsi="Times New Roman" w:eastAsia="仿宋"/>
          <w:color w:val="auto"/>
          <w:spacing w:val="20"/>
          <w:sz w:val="32"/>
          <w:szCs w:val="32"/>
        </w:rPr>
        <w:t>份，乙方执</w:t>
      </w:r>
      <w:r>
        <w:rPr>
          <w:rFonts w:ascii="Times New Roman" w:hAnsi="Times New Roman" w:eastAsia="仿宋"/>
          <w:color w:val="auto"/>
          <w:spacing w:val="20"/>
          <w:sz w:val="32"/>
          <w:szCs w:val="32"/>
          <w:u w:val="single"/>
        </w:rPr>
        <w:t>贰</w:t>
      </w:r>
      <w:r>
        <w:rPr>
          <w:rFonts w:ascii="Times New Roman" w:hAnsi="Times New Roman" w:eastAsia="仿宋"/>
          <w:color w:val="auto"/>
          <w:spacing w:val="20"/>
          <w:sz w:val="32"/>
          <w:szCs w:val="32"/>
        </w:rPr>
        <w:t>份。</w:t>
      </w:r>
    </w:p>
    <w:p w14:paraId="548786CD">
      <w:pPr>
        <w:spacing w:line="560" w:lineRule="exact"/>
        <w:rPr>
          <w:rFonts w:ascii="Times New Roman" w:hAnsi="Times New Roman" w:eastAsia="仿宋"/>
          <w:color w:val="auto"/>
          <w:spacing w:val="20"/>
          <w:sz w:val="32"/>
          <w:szCs w:val="32"/>
        </w:rPr>
      </w:pPr>
    </w:p>
    <w:p w14:paraId="6E4B49E6">
      <w:pPr>
        <w:spacing w:line="560" w:lineRule="exact"/>
        <w:rPr>
          <w:rFonts w:ascii="Times New Roman" w:hAnsi="Times New Roman" w:eastAsia="仿宋"/>
          <w:color w:val="auto"/>
          <w:spacing w:val="20"/>
          <w:sz w:val="32"/>
          <w:szCs w:val="32"/>
        </w:rPr>
      </w:pPr>
    </w:p>
    <w:p w14:paraId="595EFE2E">
      <w:pPr>
        <w:spacing w:line="560" w:lineRule="exact"/>
        <w:rPr>
          <w:rFonts w:ascii="Times New Roman" w:hAnsi="Times New Roman" w:eastAsia="仿宋"/>
          <w:color w:val="auto"/>
          <w:spacing w:val="20"/>
          <w:sz w:val="32"/>
          <w:szCs w:val="32"/>
        </w:rPr>
      </w:pPr>
      <w:r>
        <w:rPr>
          <w:rFonts w:ascii="Times New Roman" w:hAnsi="Times New Roman" w:eastAsia="仿宋"/>
          <w:color w:val="auto"/>
          <w:spacing w:val="20"/>
          <w:sz w:val="32"/>
          <w:szCs w:val="32"/>
        </w:rPr>
        <w:t>甲方单位：（盖章）          乙方单位：（盖章）</w:t>
      </w:r>
    </w:p>
    <w:p w14:paraId="2C4A0DD8">
      <w:pPr>
        <w:spacing w:line="560" w:lineRule="exact"/>
        <w:rPr>
          <w:rFonts w:ascii="Times New Roman" w:hAnsi="Times New Roman" w:eastAsia="仿宋"/>
          <w:color w:val="auto"/>
          <w:spacing w:val="20"/>
          <w:sz w:val="32"/>
          <w:szCs w:val="32"/>
        </w:rPr>
      </w:pPr>
    </w:p>
    <w:p w14:paraId="3001D6DC">
      <w:pPr>
        <w:spacing w:line="560" w:lineRule="exact"/>
        <w:rPr>
          <w:rFonts w:ascii="Times New Roman" w:hAnsi="Times New Roman" w:eastAsia="仿宋"/>
          <w:color w:val="auto"/>
          <w:spacing w:val="20"/>
          <w:sz w:val="32"/>
          <w:szCs w:val="32"/>
        </w:rPr>
      </w:pPr>
      <w:r>
        <w:rPr>
          <w:rFonts w:ascii="Times New Roman" w:hAnsi="Times New Roman" w:eastAsia="仿宋"/>
          <w:color w:val="auto"/>
          <w:spacing w:val="20"/>
          <w:sz w:val="32"/>
          <w:szCs w:val="32"/>
        </w:rPr>
        <w:t>法定代表人                 法定代表人</w:t>
      </w:r>
    </w:p>
    <w:p w14:paraId="519C8306">
      <w:pPr>
        <w:spacing w:line="560" w:lineRule="exact"/>
        <w:rPr>
          <w:rFonts w:ascii="Times New Roman" w:hAnsi="Times New Roman" w:eastAsia="仿宋"/>
          <w:color w:val="auto"/>
          <w:spacing w:val="20"/>
          <w:sz w:val="32"/>
          <w:szCs w:val="32"/>
        </w:rPr>
      </w:pPr>
      <w:r>
        <w:rPr>
          <w:rFonts w:ascii="Times New Roman" w:hAnsi="Times New Roman" w:eastAsia="仿宋"/>
          <w:color w:val="auto"/>
          <w:spacing w:val="20"/>
          <w:sz w:val="32"/>
          <w:szCs w:val="32"/>
        </w:rPr>
        <w:t>或                        或</w:t>
      </w:r>
    </w:p>
    <w:p w14:paraId="7C5B537E">
      <w:pPr>
        <w:spacing w:line="560" w:lineRule="exact"/>
        <w:rPr>
          <w:rFonts w:ascii="Times New Roman" w:hAnsi="Times New Roman" w:eastAsia="仿宋"/>
          <w:color w:val="auto"/>
          <w:spacing w:val="20"/>
          <w:sz w:val="32"/>
          <w:szCs w:val="32"/>
        </w:rPr>
      </w:pPr>
      <w:r>
        <w:rPr>
          <w:rFonts w:ascii="Times New Roman" w:hAnsi="Times New Roman" w:eastAsia="仿宋"/>
          <w:color w:val="auto"/>
          <w:spacing w:val="20"/>
          <w:sz w:val="32"/>
          <w:szCs w:val="32"/>
        </w:rPr>
        <w:t xml:space="preserve">其授权的代理人：           其授权的代理人：          </w:t>
      </w:r>
    </w:p>
    <w:p w14:paraId="569F1291">
      <w:pPr>
        <w:spacing w:line="560" w:lineRule="exact"/>
        <w:rPr>
          <w:rFonts w:ascii="Times New Roman" w:hAnsi="Times New Roman" w:eastAsia="仿宋"/>
          <w:color w:val="auto"/>
          <w:spacing w:val="20"/>
          <w:sz w:val="32"/>
          <w:szCs w:val="32"/>
        </w:rPr>
      </w:pPr>
    </w:p>
    <w:p w14:paraId="2F982004">
      <w:pPr>
        <w:spacing w:line="560" w:lineRule="exact"/>
        <w:rPr>
          <w:rFonts w:ascii="Times New Roman" w:hAnsi="Times New Roman"/>
          <w:bCs/>
          <w:color w:val="auto"/>
          <w:szCs w:val="21"/>
        </w:rPr>
      </w:pPr>
      <w:r>
        <w:rPr>
          <w:rFonts w:ascii="Times New Roman" w:hAnsi="Times New Roman" w:eastAsia="仿宋"/>
          <w:color w:val="auto"/>
          <w:spacing w:val="20"/>
          <w:sz w:val="32"/>
          <w:szCs w:val="32"/>
        </w:rPr>
        <w:t>年   月   日              年   月   日</w:t>
      </w:r>
    </w:p>
    <w:p w14:paraId="7A10FD09">
      <w:pPr>
        <w:adjustRightInd w:val="0"/>
        <w:snapToGrid w:val="0"/>
        <w:spacing w:line="560" w:lineRule="exact"/>
        <w:jc w:val="left"/>
        <w:rPr>
          <w:rFonts w:ascii="Times New Roman" w:hAnsi="Times New Roman"/>
          <w:bCs/>
          <w:color w:val="auto"/>
          <w:szCs w:val="21"/>
        </w:rPr>
        <w:sectPr>
          <w:headerReference r:id="rId7" w:type="default"/>
          <w:footerReference r:id="rId8" w:type="default"/>
          <w:footnotePr>
            <w:numFmt w:val="decimalEnclosedCircleChinese"/>
          </w:footnotePr>
          <w:pgSz w:w="11906" w:h="16838"/>
          <w:pgMar w:top="1440" w:right="1709" w:bottom="1440" w:left="1797" w:header="851" w:footer="992" w:gutter="0"/>
          <w:pgNumType w:start="24"/>
          <w:cols w:space="720" w:num="1"/>
          <w:docGrid w:type="linesAndChars" w:linePitch="312" w:charSpace="0"/>
        </w:sectPr>
      </w:pPr>
    </w:p>
    <w:p w14:paraId="78C83C53">
      <w:pPr>
        <w:keepNext/>
        <w:keepLines/>
        <w:spacing w:before="120" w:line="440" w:lineRule="exact"/>
        <w:outlineLvl w:val="1"/>
        <w:rPr>
          <w:rFonts w:ascii="Times New Roman" w:hAnsi="Times New Roman" w:eastAsia="黑体"/>
          <w:color w:val="auto"/>
          <w:sz w:val="32"/>
          <w:szCs w:val="32"/>
        </w:rPr>
      </w:pPr>
      <w:r>
        <w:rPr>
          <w:rFonts w:ascii="Times New Roman" w:hAnsi="Times New Roman" w:eastAsia="黑体"/>
          <w:color w:val="auto"/>
          <w:sz w:val="32"/>
          <w:szCs w:val="32"/>
        </w:rPr>
        <w:t>附件2：</w:t>
      </w:r>
    </w:p>
    <w:p w14:paraId="34BF384F">
      <w:pPr>
        <w:spacing w:line="440" w:lineRule="exact"/>
        <w:jc w:val="center"/>
        <w:rPr>
          <w:rFonts w:ascii="Times New Roman" w:hAnsi="Times New Roman" w:eastAsia="方正小标宋简体"/>
          <w:color w:val="auto"/>
          <w:sz w:val="44"/>
          <w:szCs w:val="44"/>
        </w:rPr>
      </w:pPr>
    </w:p>
    <w:p w14:paraId="26E007CA">
      <w:pPr>
        <w:spacing w:line="440" w:lineRule="exact"/>
        <w:jc w:val="center"/>
        <w:rPr>
          <w:rFonts w:ascii="Times New Roman" w:hAnsi="Times New Roman"/>
          <w:color w:val="auto"/>
          <w:szCs w:val="21"/>
        </w:rPr>
      </w:pPr>
      <w:r>
        <w:rPr>
          <w:rFonts w:ascii="Times New Roman" w:hAnsi="Times New Roman" w:eastAsia="方正小标宋简体"/>
          <w:color w:val="auto"/>
          <w:sz w:val="44"/>
          <w:szCs w:val="44"/>
        </w:rPr>
        <w:t>安全生产合同</w:t>
      </w:r>
    </w:p>
    <w:p w14:paraId="7B97A918">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发包人：</w:t>
      </w:r>
      <w:r>
        <w:rPr>
          <w:rFonts w:hint="eastAsia" w:ascii="Times New Roman" w:hAnsi="Times New Roman" w:eastAsia="仿宋_GB2312"/>
          <w:color w:val="auto"/>
          <w:sz w:val="32"/>
          <w:szCs w:val="32"/>
        </w:rPr>
        <w:t>深圳市安之联置业有限公司</w:t>
      </w:r>
      <w:r>
        <w:rPr>
          <w:rFonts w:ascii="Times New Roman" w:hAnsi="Times New Roman" w:eastAsia="仿宋_GB2312"/>
          <w:color w:val="auto"/>
          <w:sz w:val="32"/>
          <w:szCs w:val="32"/>
        </w:rPr>
        <w:t xml:space="preserve">                            </w:t>
      </w:r>
    </w:p>
    <w:p w14:paraId="043F0053">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 xml:space="preserve">承包人：                            </w:t>
      </w:r>
    </w:p>
    <w:p w14:paraId="7FFC1457">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为认真贯彻“安全第一、预防为主、综合治理”的方针，落实安全责任，加强安全生产监督管理，确保工程建设安全生产，结合工作实际，按规定搞好安全防护措施，把安全生产落实到实处，双方特签订</w:t>
      </w:r>
      <w:r>
        <w:rPr>
          <w:rFonts w:hint="eastAsia" w:ascii="Times New Roman" w:hAnsi="Times New Roman" w:eastAsia="仿宋_GB2312"/>
          <w:color w:val="auto"/>
          <w:sz w:val="32"/>
          <w:szCs w:val="32"/>
          <w:u w:val="single"/>
        </w:rPr>
        <w:t>深圳安联尚璟府项目阶段性软装家装类框架采购（2025年度）</w:t>
      </w:r>
      <w:r>
        <w:rPr>
          <w:rFonts w:ascii="Times New Roman" w:hAnsi="Times New Roman" w:eastAsia="仿宋_GB2312"/>
          <w:color w:val="auto"/>
          <w:sz w:val="32"/>
          <w:szCs w:val="32"/>
        </w:rPr>
        <w:t>安全生产合同。主要内容如下：</w:t>
      </w:r>
    </w:p>
    <w:p w14:paraId="04A5438C">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一、发包人责任</w:t>
      </w:r>
    </w:p>
    <w:p w14:paraId="531D01BD">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1.严格遵照《中华人民共和国安全生产法》、《建设工程安全生产管理条例》等有关安全生产规定，依法对承包人进行安全生产监督管理。</w:t>
      </w:r>
    </w:p>
    <w:p w14:paraId="1AD88C20">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2.严格按照有关安全生产法律法规条例规定，建立安全生产管理机构，制定各项安全生产规章制度，建立事故应急救援预案。</w:t>
      </w:r>
    </w:p>
    <w:p w14:paraId="008460A6">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3.按照“安全第一，预防为主，综合治理”的方针和“管生产必须管安全”的原则进行安全生产管理，做到生产与安全工作同时计划、布置、检查和总结。</w:t>
      </w:r>
    </w:p>
    <w:p w14:paraId="717C7C8B">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4.督促、指导并检查承包人安全管理人员的安全培训，依法持证上岗。</w:t>
      </w:r>
    </w:p>
    <w:p w14:paraId="4FC2E233">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5.定期召开安全生产工作会议，及时传达中央及地方有关安全生产精神。</w:t>
      </w:r>
    </w:p>
    <w:p w14:paraId="026C8DBB">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6.组织对承包人施工现场和安全生产内业资料的检查，监督承包人及时处理各种安全隐患。</w:t>
      </w:r>
    </w:p>
    <w:p w14:paraId="1985F230">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7.严肃查处违章、违纪行为，对情节严重的依法给予相应处罚。</w:t>
      </w:r>
    </w:p>
    <w:p w14:paraId="42A8D835">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8.发包人的上述所有责任的任何缺失，并不免除承包人依照《中华人民共和国建筑法》等相关法律法规应当承担的安全责任。</w:t>
      </w:r>
    </w:p>
    <w:p w14:paraId="627B3FA5">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二、承包人责任</w:t>
      </w:r>
    </w:p>
    <w:p w14:paraId="2D458757">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1.遵守《中华人民共和国安全生产法》、《建设工程安全生产管理条例》及其他相关法律法规的规定，建立安全生产管理机构，配备安全管理人员，制定安全生产责任制等各项规章制度。</w:t>
      </w:r>
    </w:p>
    <w:p w14:paraId="5F65EBBF">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2.建立事故应急救援组织和应急救援预案，并定期组织演练；组织开展事故应急知识培训和宣传工作；班组人员应相对固定，不得随意招用社会闲散人员或不明身份者充入班组，无“三证”人员不得进入施工现场；认真开展“三上岗、一讲评”安全活动，对职工进行定期或不定期的安全教育工作；特殊工作必须由持有本专业有效证件人员操作，禁止擅自操作其它工种的一切设备、支架（如接电、开机、拆架等等）。</w:t>
      </w:r>
    </w:p>
    <w:p w14:paraId="6411E1BD">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3.根据工程危险源分析和重大危险性工程施工方案论证情况，切实做好相应安全预警预防工作。</w:t>
      </w:r>
    </w:p>
    <w:p w14:paraId="1D0E0A52">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4.对关键工程、要害部位、施工现场、主要机械设备进行定期或不定期检查，发现问题及时处理，严查各种违章、违规现象。</w:t>
      </w:r>
    </w:p>
    <w:p w14:paraId="3EAEAC87">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5.接受地方安监部门监督检查。</w:t>
      </w:r>
    </w:p>
    <w:p w14:paraId="4E1D8E7C">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6.出现事故，立即上报，不得隐瞒、漏报。</w:t>
      </w:r>
    </w:p>
    <w:p w14:paraId="5EF003E9">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三、责任目标</w:t>
      </w:r>
    </w:p>
    <w:p w14:paraId="38D2EBD2">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杜绝较大安全生产责任事故、重大安全生产责任事故、特大安全生产责任事故发生，完成年度安全生产各项工作任务，安全生产各项考核指标满足规范要求。</w:t>
      </w:r>
    </w:p>
    <w:p w14:paraId="0EAD9987">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四、检查、考核、评定</w:t>
      </w:r>
    </w:p>
    <w:p w14:paraId="34E79966">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公司安全生产领导小组办公室进行年度考核，具体方法实行月检查打分制，月检查累计分数将作为工程结束后退还质保金、评定工作的重要依据。</w:t>
      </w:r>
    </w:p>
    <w:p w14:paraId="33F4B13A">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五、本合同自签订之日起至项目竣工验收止。</w:t>
      </w:r>
    </w:p>
    <w:p w14:paraId="4D3FC95F">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六、本合同作为</w:t>
      </w:r>
      <w:r>
        <w:rPr>
          <w:rFonts w:hint="eastAsia" w:ascii="Times New Roman" w:hAnsi="Times New Roman" w:eastAsia="仿宋_GB2312"/>
          <w:color w:val="auto"/>
          <w:sz w:val="32"/>
          <w:szCs w:val="32"/>
          <w:u w:val="single"/>
        </w:rPr>
        <w:t>深圳安联尚璟府项目阶段性软装家装类框架采购（2025年度）</w:t>
      </w:r>
      <w:r>
        <w:rPr>
          <w:rFonts w:ascii="Times New Roman" w:hAnsi="Times New Roman" w:eastAsia="仿宋_GB2312"/>
          <w:color w:val="auto"/>
          <w:sz w:val="32"/>
          <w:szCs w:val="32"/>
        </w:rPr>
        <w:t>合同的附件，与工程施工合同具有同等的法律效力，经合同双方签署后立即生效。</w:t>
      </w:r>
    </w:p>
    <w:p w14:paraId="231D3068">
      <w:pPr>
        <w:tabs>
          <w:tab w:val="left" w:pos="0"/>
        </w:tabs>
        <w:spacing w:line="600" w:lineRule="exact"/>
        <w:ind w:firstLine="640" w:firstLineChars="200"/>
        <w:rPr>
          <w:rFonts w:ascii="Times New Roman" w:hAnsi="Times New Roman" w:eastAsia="仿宋_GB2312"/>
          <w:color w:val="auto"/>
          <w:sz w:val="32"/>
          <w:szCs w:val="32"/>
        </w:rPr>
      </w:pPr>
      <w:r>
        <w:rPr>
          <w:rFonts w:ascii="Times New Roman" w:hAnsi="Times New Roman" w:eastAsia="仿宋_GB2312"/>
          <w:color w:val="auto"/>
          <w:sz w:val="32"/>
          <w:szCs w:val="32"/>
        </w:rPr>
        <w:t>七、本合同一式</w:t>
      </w:r>
      <w:r>
        <w:rPr>
          <w:rFonts w:ascii="Times New Roman" w:hAnsi="Times New Roman" w:eastAsia="仿宋_GB2312"/>
          <w:color w:val="auto"/>
          <w:sz w:val="32"/>
          <w:szCs w:val="32"/>
          <w:u w:val="single"/>
        </w:rPr>
        <w:t>陆</w:t>
      </w:r>
      <w:r>
        <w:rPr>
          <w:rFonts w:ascii="Times New Roman" w:hAnsi="Times New Roman" w:eastAsia="仿宋_GB2312"/>
          <w:color w:val="auto"/>
          <w:sz w:val="32"/>
          <w:szCs w:val="32"/>
        </w:rPr>
        <w:t>份，发包人执</w:t>
      </w:r>
      <w:r>
        <w:rPr>
          <w:rFonts w:ascii="Times New Roman" w:hAnsi="Times New Roman" w:eastAsia="仿宋_GB2312"/>
          <w:color w:val="auto"/>
          <w:sz w:val="32"/>
          <w:szCs w:val="32"/>
          <w:u w:val="single"/>
        </w:rPr>
        <w:t>肆</w:t>
      </w:r>
      <w:r>
        <w:rPr>
          <w:rFonts w:ascii="Times New Roman" w:hAnsi="Times New Roman" w:eastAsia="仿宋_GB2312"/>
          <w:color w:val="auto"/>
          <w:sz w:val="32"/>
          <w:szCs w:val="32"/>
        </w:rPr>
        <w:t>份，承包人执</w:t>
      </w:r>
      <w:r>
        <w:rPr>
          <w:rFonts w:ascii="Times New Roman" w:hAnsi="Times New Roman" w:eastAsia="仿宋_GB2312"/>
          <w:color w:val="auto"/>
          <w:sz w:val="32"/>
          <w:szCs w:val="32"/>
          <w:u w:val="single"/>
        </w:rPr>
        <w:t>贰</w:t>
      </w:r>
      <w:r>
        <w:rPr>
          <w:rFonts w:ascii="Times New Roman" w:hAnsi="Times New Roman" w:eastAsia="仿宋_GB2312"/>
          <w:color w:val="auto"/>
          <w:sz w:val="32"/>
          <w:szCs w:val="32"/>
        </w:rPr>
        <w:t xml:space="preserve">份。 </w:t>
      </w:r>
    </w:p>
    <w:p w14:paraId="31D6D907">
      <w:pPr>
        <w:tabs>
          <w:tab w:val="left" w:pos="0"/>
        </w:tabs>
        <w:spacing w:line="600" w:lineRule="exact"/>
        <w:rPr>
          <w:rFonts w:ascii="Times New Roman" w:hAnsi="Times New Roman" w:eastAsia="仿宋_GB2312"/>
          <w:color w:val="auto"/>
          <w:sz w:val="32"/>
          <w:szCs w:val="32"/>
        </w:rPr>
      </w:pPr>
      <w:r>
        <w:rPr>
          <w:rFonts w:ascii="Times New Roman" w:hAnsi="Times New Roman" w:eastAsia="仿宋_GB2312"/>
          <w:color w:val="auto"/>
          <w:sz w:val="32"/>
          <w:szCs w:val="32"/>
        </w:rPr>
        <w:t>发包人：(盖单位章)             承包人：(盖单位章)</w:t>
      </w:r>
    </w:p>
    <w:p w14:paraId="1A50B3D1">
      <w:pPr>
        <w:tabs>
          <w:tab w:val="left" w:pos="0"/>
        </w:tabs>
        <w:spacing w:line="600" w:lineRule="exact"/>
        <w:ind w:firstLine="640" w:firstLineChars="200"/>
        <w:rPr>
          <w:rFonts w:ascii="Times New Roman" w:hAnsi="Times New Roman" w:eastAsia="仿宋_GB2312"/>
          <w:color w:val="auto"/>
          <w:sz w:val="32"/>
          <w:szCs w:val="32"/>
        </w:rPr>
      </w:pPr>
    </w:p>
    <w:p w14:paraId="250F1D56">
      <w:pPr>
        <w:tabs>
          <w:tab w:val="left" w:pos="0"/>
        </w:tabs>
        <w:spacing w:line="600" w:lineRule="exact"/>
        <w:rPr>
          <w:rFonts w:ascii="Times New Roman" w:hAnsi="Times New Roman" w:eastAsia="仿宋_GB2312"/>
          <w:color w:val="auto"/>
          <w:sz w:val="32"/>
          <w:szCs w:val="32"/>
        </w:rPr>
      </w:pPr>
      <w:r>
        <w:rPr>
          <w:rFonts w:ascii="Times New Roman" w:hAnsi="Times New Roman" w:eastAsia="仿宋_GB2312"/>
          <w:color w:val="auto"/>
          <w:sz w:val="32"/>
          <w:szCs w:val="32"/>
        </w:rPr>
        <w:t>法定代表人                     法定代表人</w:t>
      </w:r>
    </w:p>
    <w:p w14:paraId="4FE53FDD">
      <w:pPr>
        <w:tabs>
          <w:tab w:val="left" w:pos="0"/>
        </w:tabs>
        <w:spacing w:line="600" w:lineRule="exact"/>
        <w:rPr>
          <w:rFonts w:ascii="Times New Roman" w:hAnsi="Times New Roman" w:eastAsia="仿宋_GB2312"/>
          <w:color w:val="auto"/>
          <w:sz w:val="32"/>
          <w:szCs w:val="32"/>
        </w:rPr>
      </w:pPr>
      <w:r>
        <w:rPr>
          <w:rFonts w:ascii="Times New Roman" w:hAnsi="Times New Roman" w:eastAsia="仿宋_GB2312"/>
          <w:color w:val="auto"/>
          <w:sz w:val="32"/>
          <w:szCs w:val="32"/>
        </w:rPr>
        <w:t>或其委托代理人：(签名)         或其委托代理人：（签名）</w:t>
      </w:r>
    </w:p>
    <w:p w14:paraId="28CFD009">
      <w:pPr>
        <w:tabs>
          <w:tab w:val="left" w:pos="0"/>
        </w:tabs>
        <w:spacing w:line="600" w:lineRule="exact"/>
        <w:rPr>
          <w:rFonts w:ascii="Times New Roman" w:hAnsi="Times New Roman"/>
          <w:color w:val="auto"/>
          <w:sz w:val="32"/>
          <w:szCs w:val="32"/>
        </w:rPr>
      </w:pPr>
      <w:r>
        <w:rPr>
          <w:rFonts w:ascii="Times New Roman" w:hAnsi="Times New Roman" w:eastAsia="仿宋_GB2312"/>
          <w:color w:val="auto"/>
          <w:sz w:val="32"/>
          <w:szCs w:val="32"/>
        </w:rPr>
        <w:t>年  月  日                           年   月  日</w:t>
      </w:r>
    </w:p>
    <w:p w14:paraId="476CBF70">
      <w:pPr>
        <w:spacing w:line="440" w:lineRule="exact"/>
        <w:jc w:val="left"/>
        <w:rPr>
          <w:rFonts w:ascii="Times New Roman" w:hAnsi="Times New Roman" w:eastAsia="仿宋"/>
          <w:b/>
          <w:color w:val="auto"/>
          <w:sz w:val="28"/>
          <w:szCs w:val="28"/>
        </w:rPr>
      </w:pPr>
      <w:r>
        <w:rPr>
          <w:rFonts w:ascii="Times New Roman" w:hAnsi="Times New Roman" w:eastAsia="仿宋"/>
          <w:b/>
          <w:color w:val="auto"/>
          <w:sz w:val="28"/>
          <w:szCs w:val="28"/>
        </w:rPr>
        <w:br w:type="page"/>
      </w:r>
      <w:r>
        <w:rPr>
          <w:rFonts w:ascii="Times New Roman" w:hAnsi="Times New Roman" w:eastAsia="仿宋"/>
          <w:b/>
          <w:color w:val="auto"/>
          <w:sz w:val="28"/>
          <w:szCs w:val="28"/>
        </w:rPr>
        <w:t>附件3：家私价格清单</w:t>
      </w:r>
    </w:p>
    <w:p w14:paraId="31F9012F">
      <w:pPr>
        <w:pStyle w:val="2"/>
        <w:rPr>
          <w:color w:val="auto"/>
        </w:rPr>
      </w:pPr>
    </w:p>
    <w:tbl>
      <w:tblPr>
        <w:tblStyle w:val="20"/>
        <w:tblW w:w="0" w:type="auto"/>
        <w:tblInd w:w="93" w:type="dxa"/>
        <w:tblLayout w:type="autofit"/>
        <w:tblCellMar>
          <w:top w:w="0" w:type="dxa"/>
          <w:left w:w="108" w:type="dxa"/>
          <w:bottom w:w="0" w:type="dxa"/>
          <w:right w:w="108" w:type="dxa"/>
        </w:tblCellMar>
      </w:tblPr>
      <w:tblGrid>
        <w:gridCol w:w="608"/>
        <w:gridCol w:w="2544"/>
        <w:gridCol w:w="707"/>
        <w:gridCol w:w="707"/>
        <w:gridCol w:w="755"/>
        <w:gridCol w:w="707"/>
        <w:gridCol w:w="755"/>
        <w:gridCol w:w="719"/>
        <w:gridCol w:w="1021"/>
      </w:tblGrid>
      <w:tr w14:paraId="32339136">
        <w:tblPrEx>
          <w:tblCellMar>
            <w:top w:w="0" w:type="dxa"/>
            <w:left w:w="108" w:type="dxa"/>
            <w:bottom w:w="0" w:type="dxa"/>
            <w:right w:w="108" w:type="dxa"/>
          </w:tblCellMar>
        </w:tblPrEx>
        <w:trPr>
          <w:trHeight w:val="1155" w:hRule="atLeast"/>
        </w:trPr>
        <w:tc>
          <w:tcPr>
            <w:tcW w:w="0" w:type="auto"/>
            <w:gridSpan w:val="9"/>
            <w:tcBorders>
              <w:top w:val="nil"/>
              <w:left w:val="nil"/>
              <w:bottom w:val="nil"/>
              <w:right w:val="nil"/>
            </w:tcBorders>
            <w:vAlign w:val="center"/>
          </w:tcPr>
          <w:p w14:paraId="38AF2537">
            <w:pPr>
              <w:widowControl/>
              <w:jc w:val="center"/>
              <w:textAlignment w:val="center"/>
              <w:rPr>
                <w:rFonts w:hint="eastAsia" w:ascii="宋体" w:hAnsi="宋体" w:cs="宋体"/>
                <w:b/>
                <w:bCs/>
                <w:color w:val="auto"/>
                <w:sz w:val="24"/>
              </w:rPr>
            </w:pPr>
            <w:r>
              <w:rPr>
                <w:rFonts w:hint="eastAsia" w:ascii="宋体" w:hAnsi="宋体" w:cs="宋体"/>
                <w:b/>
                <w:bCs/>
                <w:color w:val="auto"/>
                <w:kern w:val="0"/>
                <w:sz w:val="24"/>
                <w:lang w:bidi="ar"/>
              </w:rPr>
              <w:t>深圳安联尚璟府项目阶段性软装家装类框架采购（2025年度）</w:t>
            </w:r>
            <w:r>
              <w:rPr>
                <w:rFonts w:hint="eastAsia" w:ascii="宋体" w:hAnsi="宋体" w:cs="宋体"/>
                <w:b/>
                <w:bCs/>
                <w:color w:val="auto"/>
                <w:kern w:val="0"/>
                <w:sz w:val="24"/>
                <w:lang w:bidi="ar"/>
              </w:rPr>
              <w:br w:type="textWrapping"/>
            </w:r>
            <w:r>
              <w:rPr>
                <w:rFonts w:hint="eastAsia" w:ascii="宋体" w:hAnsi="宋体" w:cs="宋体"/>
                <w:b/>
                <w:bCs/>
                <w:color w:val="auto"/>
                <w:kern w:val="0"/>
                <w:sz w:val="24"/>
                <w:lang w:bidi="ar"/>
              </w:rPr>
              <w:t>报价汇总表</w:t>
            </w:r>
          </w:p>
        </w:tc>
      </w:tr>
      <w:tr w14:paraId="317D33F3">
        <w:tblPrEx>
          <w:tblCellMar>
            <w:top w:w="0" w:type="dxa"/>
            <w:left w:w="108" w:type="dxa"/>
            <w:bottom w:w="0" w:type="dxa"/>
            <w:right w:w="108" w:type="dxa"/>
          </w:tblCellMar>
        </w:tblPrEx>
        <w:trPr>
          <w:trHeight w:val="672" w:hRule="atLeast"/>
        </w:trPr>
        <w:tc>
          <w:tcPr>
            <w:tcW w:w="0" w:type="auto"/>
            <w:vMerge w:val="restart"/>
            <w:tcBorders>
              <w:top w:val="single" w:color="000000" w:sz="8" w:space="0"/>
              <w:left w:val="single" w:color="000000" w:sz="8" w:space="0"/>
              <w:bottom w:val="single" w:color="000000" w:sz="8" w:space="0"/>
              <w:right w:val="single" w:color="000000" w:sz="8" w:space="0"/>
            </w:tcBorders>
            <w:vAlign w:val="center"/>
          </w:tcPr>
          <w:p w14:paraId="7F56A37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品名</w:t>
            </w:r>
          </w:p>
        </w:tc>
        <w:tc>
          <w:tcPr>
            <w:tcW w:w="0" w:type="auto"/>
            <w:vMerge w:val="restart"/>
            <w:tcBorders>
              <w:top w:val="single" w:color="000000" w:sz="8" w:space="0"/>
              <w:left w:val="single" w:color="000000" w:sz="8" w:space="0"/>
              <w:bottom w:val="single" w:color="000000" w:sz="8" w:space="0"/>
              <w:right w:val="single" w:color="000000" w:sz="8" w:space="0"/>
            </w:tcBorders>
            <w:vAlign w:val="center"/>
          </w:tcPr>
          <w:p w14:paraId="39CA5783">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项目描述</w:t>
            </w:r>
          </w:p>
        </w:tc>
        <w:tc>
          <w:tcPr>
            <w:tcW w:w="0" w:type="auto"/>
            <w:vMerge w:val="restart"/>
            <w:tcBorders>
              <w:top w:val="single" w:color="000000" w:sz="8" w:space="0"/>
              <w:left w:val="single" w:color="000000" w:sz="8" w:space="0"/>
              <w:bottom w:val="single" w:color="000000" w:sz="8" w:space="0"/>
              <w:right w:val="single" w:color="000000" w:sz="8" w:space="0"/>
            </w:tcBorders>
            <w:noWrap/>
            <w:vAlign w:val="center"/>
          </w:tcPr>
          <w:p w14:paraId="228C0E7D">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单位</w:t>
            </w:r>
          </w:p>
        </w:tc>
        <w:tc>
          <w:tcPr>
            <w:tcW w:w="0" w:type="auto"/>
            <w:vMerge w:val="restart"/>
            <w:tcBorders>
              <w:top w:val="single" w:color="000000" w:sz="8" w:space="0"/>
              <w:left w:val="single" w:color="000000" w:sz="8" w:space="0"/>
              <w:bottom w:val="single" w:color="000000" w:sz="8" w:space="0"/>
              <w:right w:val="single" w:color="000000" w:sz="8" w:space="0"/>
            </w:tcBorders>
            <w:noWrap/>
            <w:vAlign w:val="center"/>
          </w:tcPr>
          <w:p w14:paraId="72149957">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数量</w:t>
            </w:r>
          </w:p>
        </w:tc>
        <w:tc>
          <w:tcPr>
            <w:tcW w:w="0" w:type="auto"/>
            <w:tcBorders>
              <w:top w:val="single" w:color="000000" w:sz="8" w:space="0"/>
              <w:left w:val="nil"/>
              <w:bottom w:val="nil"/>
              <w:right w:val="single" w:color="000000" w:sz="8" w:space="0"/>
            </w:tcBorders>
            <w:vAlign w:val="center"/>
          </w:tcPr>
          <w:p w14:paraId="1B4B86D5">
            <w:pPr>
              <w:widowControl/>
              <w:textAlignment w:val="center"/>
              <w:rPr>
                <w:rFonts w:hint="eastAsia" w:ascii="宋体" w:hAnsi="宋体" w:cs="宋体"/>
                <w:color w:val="auto"/>
                <w:sz w:val="24"/>
              </w:rPr>
            </w:pPr>
            <w:r>
              <w:rPr>
                <w:rFonts w:hint="eastAsia" w:ascii="宋体" w:hAnsi="宋体" w:cs="宋体"/>
                <w:color w:val="auto"/>
                <w:kern w:val="0"/>
                <w:sz w:val="24"/>
                <w:lang w:bidi="ar"/>
              </w:rPr>
              <w:t>除税单价</w:t>
            </w:r>
          </w:p>
        </w:tc>
        <w:tc>
          <w:tcPr>
            <w:tcW w:w="0" w:type="auto"/>
            <w:tcBorders>
              <w:top w:val="single" w:color="000000" w:sz="8" w:space="0"/>
              <w:left w:val="nil"/>
              <w:bottom w:val="nil"/>
              <w:right w:val="single" w:color="000000" w:sz="8" w:space="0"/>
            </w:tcBorders>
            <w:vAlign w:val="center"/>
          </w:tcPr>
          <w:p w14:paraId="3B80665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税金</w:t>
            </w:r>
          </w:p>
        </w:tc>
        <w:tc>
          <w:tcPr>
            <w:tcW w:w="0" w:type="auto"/>
            <w:tcBorders>
              <w:top w:val="single" w:color="000000" w:sz="8" w:space="0"/>
              <w:left w:val="nil"/>
              <w:bottom w:val="nil"/>
              <w:right w:val="single" w:color="000000" w:sz="8" w:space="0"/>
            </w:tcBorders>
            <w:vAlign w:val="center"/>
          </w:tcPr>
          <w:p w14:paraId="47E2934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含税单价</w:t>
            </w:r>
          </w:p>
        </w:tc>
        <w:tc>
          <w:tcPr>
            <w:tcW w:w="0" w:type="auto"/>
            <w:tcBorders>
              <w:top w:val="single" w:color="000000" w:sz="8" w:space="0"/>
              <w:left w:val="nil"/>
              <w:bottom w:val="nil"/>
              <w:right w:val="single" w:color="000000" w:sz="8" w:space="0"/>
            </w:tcBorders>
            <w:vAlign w:val="center"/>
          </w:tcPr>
          <w:p w14:paraId="5A3836A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 合价</w:t>
            </w:r>
          </w:p>
        </w:tc>
        <w:tc>
          <w:tcPr>
            <w:tcW w:w="0" w:type="auto"/>
            <w:vMerge w:val="restart"/>
            <w:tcBorders>
              <w:top w:val="single" w:color="000000" w:sz="8" w:space="0"/>
              <w:left w:val="single" w:color="000000" w:sz="8" w:space="0"/>
              <w:bottom w:val="single" w:color="000000" w:sz="8" w:space="0"/>
              <w:right w:val="single" w:color="000000" w:sz="8" w:space="0"/>
            </w:tcBorders>
            <w:noWrap/>
            <w:vAlign w:val="center"/>
          </w:tcPr>
          <w:p w14:paraId="399558D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备注</w:t>
            </w:r>
          </w:p>
        </w:tc>
      </w:tr>
      <w:tr w14:paraId="5D9D1B8D">
        <w:tblPrEx>
          <w:tblCellMar>
            <w:top w:w="0" w:type="dxa"/>
            <w:left w:w="108" w:type="dxa"/>
            <w:bottom w:w="0" w:type="dxa"/>
            <w:right w:w="108" w:type="dxa"/>
          </w:tblCellMar>
        </w:tblPrEx>
        <w:trPr>
          <w:trHeight w:val="300" w:hRule="atLeast"/>
        </w:trPr>
        <w:tc>
          <w:tcPr>
            <w:tcW w:w="0" w:type="auto"/>
            <w:vMerge w:val="continue"/>
            <w:tcBorders>
              <w:top w:val="single" w:color="000000" w:sz="8" w:space="0"/>
              <w:left w:val="single" w:color="000000" w:sz="8" w:space="0"/>
              <w:bottom w:val="single" w:color="000000" w:sz="8" w:space="0"/>
              <w:right w:val="single" w:color="000000" w:sz="8" w:space="0"/>
            </w:tcBorders>
            <w:vAlign w:val="center"/>
          </w:tcPr>
          <w:p w14:paraId="2B3ECBF1">
            <w:pPr>
              <w:jc w:val="center"/>
              <w:rPr>
                <w:rFonts w:hint="eastAsia" w:ascii="宋体" w:hAnsi="宋体" w:cs="宋体"/>
                <w:color w:val="auto"/>
                <w:sz w:val="24"/>
              </w:rPr>
            </w:pPr>
          </w:p>
        </w:tc>
        <w:tc>
          <w:tcPr>
            <w:tcW w:w="0" w:type="auto"/>
            <w:vMerge w:val="continue"/>
            <w:tcBorders>
              <w:top w:val="single" w:color="000000" w:sz="8" w:space="0"/>
              <w:left w:val="single" w:color="000000" w:sz="8" w:space="0"/>
              <w:bottom w:val="single" w:color="000000" w:sz="8" w:space="0"/>
              <w:right w:val="single" w:color="000000" w:sz="8" w:space="0"/>
            </w:tcBorders>
            <w:vAlign w:val="center"/>
          </w:tcPr>
          <w:p w14:paraId="2322AE26">
            <w:pPr>
              <w:jc w:val="center"/>
              <w:rPr>
                <w:rFonts w:hint="eastAsia" w:ascii="宋体" w:hAnsi="宋体" w:cs="宋体"/>
                <w:color w:val="auto"/>
                <w:sz w:val="24"/>
              </w:rPr>
            </w:pPr>
          </w:p>
        </w:tc>
        <w:tc>
          <w:tcPr>
            <w:tcW w:w="0" w:type="auto"/>
            <w:vMerge w:val="continue"/>
            <w:tcBorders>
              <w:top w:val="single" w:color="000000" w:sz="8" w:space="0"/>
              <w:left w:val="single" w:color="000000" w:sz="8" w:space="0"/>
              <w:bottom w:val="single" w:color="000000" w:sz="8" w:space="0"/>
              <w:right w:val="single" w:color="000000" w:sz="8" w:space="0"/>
            </w:tcBorders>
            <w:noWrap/>
            <w:vAlign w:val="center"/>
          </w:tcPr>
          <w:p w14:paraId="047FBA3B">
            <w:pPr>
              <w:jc w:val="center"/>
              <w:rPr>
                <w:rFonts w:hint="eastAsia" w:ascii="宋体" w:hAnsi="宋体" w:cs="宋体"/>
                <w:color w:val="auto"/>
                <w:sz w:val="24"/>
              </w:rPr>
            </w:pPr>
          </w:p>
        </w:tc>
        <w:tc>
          <w:tcPr>
            <w:tcW w:w="0" w:type="auto"/>
            <w:vMerge w:val="continue"/>
            <w:tcBorders>
              <w:top w:val="single" w:color="000000" w:sz="8" w:space="0"/>
              <w:left w:val="single" w:color="000000" w:sz="8" w:space="0"/>
              <w:bottom w:val="single" w:color="000000" w:sz="8" w:space="0"/>
              <w:right w:val="single" w:color="000000" w:sz="8" w:space="0"/>
            </w:tcBorders>
            <w:noWrap/>
            <w:vAlign w:val="center"/>
          </w:tcPr>
          <w:p w14:paraId="3318156B">
            <w:pPr>
              <w:jc w:val="center"/>
              <w:rPr>
                <w:rFonts w:hint="eastAsia" w:ascii="宋体" w:hAnsi="宋体" w:cs="宋体"/>
                <w:color w:val="auto"/>
                <w:sz w:val="24"/>
              </w:rPr>
            </w:pPr>
          </w:p>
        </w:tc>
        <w:tc>
          <w:tcPr>
            <w:tcW w:w="0" w:type="auto"/>
            <w:tcBorders>
              <w:top w:val="nil"/>
              <w:left w:val="nil"/>
              <w:bottom w:val="single" w:color="000000" w:sz="8" w:space="0"/>
              <w:right w:val="single" w:color="000000" w:sz="8" w:space="0"/>
            </w:tcBorders>
            <w:vAlign w:val="center"/>
          </w:tcPr>
          <w:p w14:paraId="3DFA7540">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(元) </w:t>
            </w:r>
          </w:p>
        </w:tc>
        <w:tc>
          <w:tcPr>
            <w:tcW w:w="0" w:type="auto"/>
            <w:tcBorders>
              <w:top w:val="nil"/>
              <w:left w:val="nil"/>
              <w:bottom w:val="single" w:color="000000" w:sz="8" w:space="0"/>
              <w:right w:val="single" w:color="000000" w:sz="8" w:space="0"/>
            </w:tcBorders>
            <w:vAlign w:val="center"/>
          </w:tcPr>
          <w:p w14:paraId="4C70E7C0">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(元) </w:t>
            </w:r>
          </w:p>
        </w:tc>
        <w:tc>
          <w:tcPr>
            <w:tcW w:w="0" w:type="auto"/>
            <w:tcBorders>
              <w:top w:val="nil"/>
              <w:left w:val="nil"/>
              <w:bottom w:val="single" w:color="000000" w:sz="8" w:space="0"/>
              <w:right w:val="single" w:color="000000" w:sz="8" w:space="0"/>
            </w:tcBorders>
            <w:vAlign w:val="center"/>
          </w:tcPr>
          <w:p w14:paraId="22777FE0">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(元) </w:t>
            </w:r>
          </w:p>
        </w:tc>
        <w:tc>
          <w:tcPr>
            <w:tcW w:w="0" w:type="auto"/>
            <w:tcBorders>
              <w:top w:val="nil"/>
              <w:left w:val="nil"/>
              <w:bottom w:val="single" w:color="000000" w:sz="8" w:space="0"/>
              <w:right w:val="single" w:color="000000" w:sz="8" w:space="0"/>
            </w:tcBorders>
            <w:vAlign w:val="center"/>
          </w:tcPr>
          <w:p w14:paraId="5D71870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(元) </w:t>
            </w:r>
          </w:p>
        </w:tc>
        <w:tc>
          <w:tcPr>
            <w:tcW w:w="0" w:type="auto"/>
            <w:vMerge w:val="continue"/>
            <w:tcBorders>
              <w:top w:val="single" w:color="000000" w:sz="8" w:space="0"/>
              <w:left w:val="single" w:color="000000" w:sz="8" w:space="0"/>
              <w:bottom w:val="single" w:color="000000" w:sz="8" w:space="0"/>
              <w:right w:val="single" w:color="000000" w:sz="8" w:space="0"/>
            </w:tcBorders>
            <w:noWrap/>
            <w:vAlign w:val="center"/>
          </w:tcPr>
          <w:p w14:paraId="6755B211">
            <w:pPr>
              <w:jc w:val="center"/>
              <w:rPr>
                <w:rFonts w:hint="eastAsia" w:ascii="宋体" w:hAnsi="宋体" w:cs="宋体"/>
                <w:color w:val="auto"/>
                <w:sz w:val="24"/>
              </w:rPr>
            </w:pPr>
          </w:p>
        </w:tc>
      </w:tr>
      <w:tr w14:paraId="04DC4A3E">
        <w:tblPrEx>
          <w:tblCellMar>
            <w:top w:w="0" w:type="dxa"/>
            <w:left w:w="108" w:type="dxa"/>
            <w:bottom w:w="0" w:type="dxa"/>
            <w:right w:w="108" w:type="dxa"/>
          </w:tblCellMar>
        </w:tblPrEx>
        <w:trPr>
          <w:trHeight w:val="2200" w:hRule="atLeast"/>
        </w:trPr>
        <w:tc>
          <w:tcPr>
            <w:tcW w:w="0" w:type="auto"/>
            <w:tcBorders>
              <w:top w:val="nil"/>
              <w:left w:val="single" w:color="000000" w:sz="8" w:space="0"/>
              <w:bottom w:val="single" w:color="000000" w:sz="8" w:space="0"/>
              <w:right w:val="single" w:color="000000" w:sz="8" w:space="0"/>
            </w:tcBorders>
            <w:vAlign w:val="center"/>
          </w:tcPr>
          <w:p w14:paraId="6F36E73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单套定制家私包</w:t>
            </w:r>
          </w:p>
        </w:tc>
        <w:tc>
          <w:tcPr>
            <w:tcW w:w="0" w:type="auto"/>
            <w:tcBorders>
              <w:top w:val="nil"/>
              <w:left w:val="nil"/>
              <w:bottom w:val="single" w:color="000000" w:sz="8" w:space="0"/>
              <w:right w:val="single" w:color="000000" w:sz="8" w:space="0"/>
            </w:tcBorders>
          </w:tcPr>
          <w:p w14:paraId="2850C72E">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每套定制家私包包含20m2(水平投影面积)定制柜及9件套活动家具，包含 ：沙发1套、茶几1个、餐桌1张、4把餐椅主卧床1张、次卧床1张；</w:t>
            </w:r>
          </w:p>
        </w:tc>
        <w:tc>
          <w:tcPr>
            <w:tcW w:w="0" w:type="auto"/>
            <w:tcBorders>
              <w:top w:val="nil"/>
              <w:left w:val="nil"/>
              <w:bottom w:val="single" w:color="000000" w:sz="8" w:space="0"/>
              <w:right w:val="single" w:color="000000" w:sz="8" w:space="0"/>
            </w:tcBorders>
            <w:noWrap/>
            <w:vAlign w:val="center"/>
          </w:tcPr>
          <w:p w14:paraId="3DF5EAFB">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套</w:t>
            </w:r>
          </w:p>
        </w:tc>
        <w:tc>
          <w:tcPr>
            <w:tcW w:w="0" w:type="auto"/>
            <w:tcBorders>
              <w:top w:val="nil"/>
              <w:left w:val="single" w:color="000000" w:sz="8" w:space="0"/>
              <w:bottom w:val="single" w:color="000000" w:sz="8" w:space="0"/>
              <w:right w:val="single" w:color="000000" w:sz="8" w:space="0"/>
            </w:tcBorders>
            <w:noWrap/>
            <w:vAlign w:val="center"/>
          </w:tcPr>
          <w:p w14:paraId="1E446CA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20</w:t>
            </w:r>
          </w:p>
        </w:tc>
        <w:tc>
          <w:tcPr>
            <w:tcW w:w="0" w:type="auto"/>
            <w:tcBorders>
              <w:top w:val="nil"/>
              <w:left w:val="single" w:color="000000" w:sz="8" w:space="0"/>
              <w:bottom w:val="single" w:color="000000" w:sz="8" w:space="0"/>
              <w:right w:val="single" w:color="000000" w:sz="8" w:space="0"/>
            </w:tcBorders>
            <w:noWrap/>
            <w:vAlign w:val="center"/>
          </w:tcPr>
          <w:p w14:paraId="42096231">
            <w:pPr>
              <w:jc w:val="center"/>
              <w:rPr>
                <w:rFonts w:hint="eastAsia" w:ascii="宋体" w:hAnsi="宋体" w:cs="宋体"/>
                <w:color w:val="auto"/>
                <w:sz w:val="24"/>
              </w:rPr>
            </w:pPr>
          </w:p>
        </w:tc>
        <w:tc>
          <w:tcPr>
            <w:tcW w:w="0" w:type="auto"/>
            <w:tcBorders>
              <w:top w:val="nil"/>
              <w:left w:val="single" w:color="000000" w:sz="8" w:space="0"/>
              <w:bottom w:val="single" w:color="000000" w:sz="8" w:space="0"/>
              <w:right w:val="single" w:color="000000" w:sz="8" w:space="0"/>
            </w:tcBorders>
            <w:noWrap/>
            <w:vAlign w:val="center"/>
          </w:tcPr>
          <w:p w14:paraId="7D08C09F">
            <w:pPr>
              <w:rPr>
                <w:rFonts w:hint="eastAsia" w:ascii="宋体" w:hAnsi="宋体" w:cs="宋体"/>
                <w:color w:val="auto"/>
                <w:sz w:val="24"/>
              </w:rPr>
            </w:pPr>
          </w:p>
        </w:tc>
        <w:tc>
          <w:tcPr>
            <w:tcW w:w="0" w:type="auto"/>
            <w:tcBorders>
              <w:top w:val="nil"/>
              <w:left w:val="single" w:color="000000" w:sz="8" w:space="0"/>
              <w:bottom w:val="single" w:color="000000" w:sz="8" w:space="0"/>
              <w:right w:val="single" w:color="000000" w:sz="8" w:space="0"/>
            </w:tcBorders>
            <w:noWrap/>
            <w:vAlign w:val="center"/>
          </w:tcPr>
          <w:p w14:paraId="53D29743">
            <w:pPr>
              <w:rPr>
                <w:rFonts w:hint="eastAsia" w:ascii="宋体" w:hAnsi="宋体" w:cs="宋体"/>
                <w:color w:val="auto"/>
                <w:sz w:val="24"/>
              </w:rPr>
            </w:pPr>
          </w:p>
        </w:tc>
        <w:tc>
          <w:tcPr>
            <w:tcW w:w="0" w:type="auto"/>
            <w:tcBorders>
              <w:top w:val="nil"/>
              <w:left w:val="single" w:color="000000" w:sz="8" w:space="0"/>
              <w:bottom w:val="single" w:color="000000" w:sz="8" w:space="0"/>
              <w:right w:val="single" w:color="000000" w:sz="8" w:space="0"/>
            </w:tcBorders>
            <w:noWrap/>
            <w:vAlign w:val="center"/>
          </w:tcPr>
          <w:p w14:paraId="5101B6C9">
            <w:pPr>
              <w:jc w:val="center"/>
              <w:rPr>
                <w:rFonts w:hint="eastAsia" w:ascii="宋体" w:hAnsi="宋体" w:cs="宋体"/>
                <w:color w:val="auto"/>
                <w:sz w:val="24"/>
              </w:rPr>
            </w:pPr>
          </w:p>
        </w:tc>
        <w:tc>
          <w:tcPr>
            <w:tcW w:w="0" w:type="auto"/>
            <w:tcBorders>
              <w:top w:val="nil"/>
              <w:left w:val="nil"/>
              <w:bottom w:val="single" w:color="000000" w:sz="8" w:space="0"/>
              <w:right w:val="single" w:color="000000" w:sz="8" w:space="0"/>
            </w:tcBorders>
            <w:vAlign w:val="center"/>
          </w:tcPr>
          <w:p w14:paraId="49CE27DE">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详见单套定制家私包采购报价清单</w:t>
            </w:r>
          </w:p>
        </w:tc>
      </w:tr>
      <w:tr w14:paraId="5D0EABEC">
        <w:tblPrEx>
          <w:tblCellMar>
            <w:top w:w="0" w:type="dxa"/>
            <w:left w:w="108" w:type="dxa"/>
            <w:bottom w:w="0" w:type="dxa"/>
            <w:right w:w="108" w:type="dxa"/>
          </w:tblCellMar>
        </w:tblPrEx>
        <w:trPr>
          <w:trHeight w:val="620" w:hRule="atLeast"/>
        </w:trPr>
        <w:tc>
          <w:tcPr>
            <w:tcW w:w="0" w:type="auto"/>
            <w:gridSpan w:val="9"/>
            <w:tcBorders>
              <w:top w:val="nil"/>
              <w:left w:val="nil"/>
              <w:bottom w:val="nil"/>
              <w:right w:val="nil"/>
            </w:tcBorders>
          </w:tcPr>
          <w:p w14:paraId="1218D0CB">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1、本次采购套数为暂定，乙方需填报所选用的品牌，且填报的定制柜及活动家具须选用同一品牌或为同一厂家旗下的品牌，并提供证明文件；</w:t>
            </w:r>
          </w:p>
        </w:tc>
      </w:tr>
      <w:tr w14:paraId="22260271">
        <w:tblPrEx>
          <w:tblCellMar>
            <w:top w:w="0" w:type="dxa"/>
            <w:left w:w="108" w:type="dxa"/>
            <w:bottom w:w="0" w:type="dxa"/>
            <w:right w:w="108" w:type="dxa"/>
          </w:tblCellMar>
        </w:tblPrEx>
        <w:trPr>
          <w:trHeight w:val="1260" w:hRule="atLeast"/>
        </w:trPr>
        <w:tc>
          <w:tcPr>
            <w:tcW w:w="0" w:type="auto"/>
            <w:gridSpan w:val="9"/>
            <w:tcBorders>
              <w:top w:val="nil"/>
              <w:left w:val="nil"/>
              <w:bottom w:val="nil"/>
              <w:right w:val="nil"/>
            </w:tcBorders>
          </w:tcPr>
          <w:p w14:paraId="16E67512">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2、本次报价清单中的技术规格要求为最低要求，乙方自行考虑填报，针对本清单中各项技术规格要求逐项标明，明确各项材料配件的材质、规格、品牌、环保等级等内容，以及样式、系列和可选范围(将选用的式样图片黏贴于单元格内)，一经填写不做调整，费用为包干使用结算时不做调整；</w:t>
            </w:r>
          </w:p>
        </w:tc>
      </w:tr>
      <w:tr w14:paraId="39CC46FF">
        <w:tblPrEx>
          <w:tblCellMar>
            <w:top w:w="0" w:type="dxa"/>
            <w:left w:w="108" w:type="dxa"/>
            <w:bottom w:w="0" w:type="dxa"/>
            <w:right w:w="108" w:type="dxa"/>
          </w:tblCellMar>
        </w:tblPrEx>
        <w:trPr>
          <w:trHeight w:val="2020" w:hRule="atLeast"/>
        </w:trPr>
        <w:tc>
          <w:tcPr>
            <w:tcW w:w="0" w:type="auto"/>
            <w:gridSpan w:val="9"/>
            <w:tcBorders>
              <w:top w:val="nil"/>
              <w:left w:val="nil"/>
              <w:bottom w:val="nil"/>
              <w:right w:val="nil"/>
            </w:tcBorders>
          </w:tcPr>
          <w:p w14:paraId="273866CB">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3、本合同价款已包括为完成本工程的一切费用，包括但不限于：深化设计、审图、货物的原材料采购、加工生产、保险、运输装卸费、垂直运输费、二次及以上搬运费、安装、临时水电及临设费、损耗、采管费、垃圾清运费、场地接收费、临时设施费、安全防护费、文明施工措施费、现场放样复尺、测量、现场协调配合费、成品及半成品保护费、赶工补偿费、夜间施工费、试验检测费、缺陷修复费、验收交付、异地交通、差旅费、住宿费以及各种措施费、其它工程配合费用、安全文明管理、水电、环保、安全、工程协调、安装调试，以及拆卸、打包、运输、搬运、组装、完工清洁和交付后维保、本合同及附件中乙方全部义务及责任等所有费用及本工程的所有风险及责任等；</w:t>
            </w:r>
          </w:p>
        </w:tc>
      </w:tr>
      <w:tr w14:paraId="7DAC6E03">
        <w:tblPrEx>
          <w:tblCellMar>
            <w:top w:w="0" w:type="dxa"/>
            <w:left w:w="108" w:type="dxa"/>
            <w:bottom w:w="0" w:type="dxa"/>
            <w:right w:w="108" w:type="dxa"/>
          </w:tblCellMar>
        </w:tblPrEx>
        <w:trPr>
          <w:trHeight w:val="1100" w:hRule="atLeast"/>
        </w:trPr>
        <w:tc>
          <w:tcPr>
            <w:tcW w:w="0" w:type="auto"/>
            <w:gridSpan w:val="9"/>
            <w:tcBorders>
              <w:top w:val="nil"/>
              <w:left w:val="nil"/>
              <w:bottom w:val="nil"/>
              <w:right w:val="nil"/>
            </w:tcBorders>
          </w:tcPr>
          <w:p w14:paraId="6CCC88E3">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4、本次单套家具采购为20m2定制柜和9件套活动家具，如小业主选用单套家具采购清单范围内的产品，乙方不得增加任何费用，如超出单套采购清单范围外的产品，由乙方与小业主双方协商的价格进行计算，超出本合同单套采购金额的费用由小业主自己承担并支付给乙方。</w:t>
            </w:r>
          </w:p>
        </w:tc>
      </w:tr>
    </w:tbl>
    <w:p w14:paraId="5B056B8A">
      <w:pPr>
        <w:pStyle w:val="2"/>
        <w:rPr>
          <w:color w:val="auto"/>
        </w:rPr>
      </w:pPr>
    </w:p>
    <w:p w14:paraId="79FB701C">
      <w:pPr>
        <w:spacing w:line="440" w:lineRule="exact"/>
        <w:jc w:val="left"/>
        <w:rPr>
          <w:rFonts w:ascii="Times New Roman" w:hAnsi="Times New Roman" w:eastAsia="仿宋"/>
          <w:b/>
          <w:color w:val="auto"/>
          <w:sz w:val="28"/>
          <w:szCs w:val="28"/>
        </w:rPr>
      </w:pPr>
    </w:p>
    <w:p w14:paraId="3E08E05A">
      <w:pPr>
        <w:pStyle w:val="2"/>
        <w:rPr>
          <w:rFonts w:ascii="Times New Roman" w:hAnsi="Times New Roman" w:eastAsia="仿宋"/>
          <w:b/>
          <w:color w:val="auto"/>
          <w:sz w:val="28"/>
          <w:szCs w:val="28"/>
        </w:rPr>
      </w:pPr>
    </w:p>
    <w:p w14:paraId="7593B209">
      <w:pPr>
        <w:rPr>
          <w:rFonts w:ascii="Times New Roman" w:hAnsi="Times New Roman" w:eastAsia="仿宋"/>
          <w:b/>
          <w:color w:val="auto"/>
          <w:sz w:val="28"/>
          <w:szCs w:val="28"/>
        </w:rPr>
      </w:pPr>
    </w:p>
    <w:tbl>
      <w:tblPr>
        <w:tblStyle w:val="20"/>
        <w:tblW w:w="10087" w:type="dxa"/>
        <w:tblInd w:w="-715" w:type="dxa"/>
        <w:tblLayout w:type="fixed"/>
        <w:tblCellMar>
          <w:top w:w="0" w:type="dxa"/>
          <w:left w:w="108" w:type="dxa"/>
          <w:bottom w:w="0" w:type="dxa"/>
          <w:right w:w="108" w:type="dxa"/>
        </w:tblCellMar>
      </w:tblPr>
      <w:tblGrid>
        <w:gridCol w:w="431"/>
        <w:gridCol w:w="581"/>
        <w:gridCol w:w="2175"/>
        <w:gridCol w:w="769"/>
        <w:gridCol w:w="431"/>
        <w:gridCol w:w="713"/>
        <w:gridCol w:w="712"/>
        <w:gridCol w:w="732"/>
        <w:gridCol w:w="731"/>
        <w:gridCol w:w="2269"/>
        <w:gridCol w:w="543"/>
      </w:tblGrid>
      <w:tr w14:paraId="39483227">
        <w:tblPrEx>
          <w:tblCellMar>
            <w:top w:w="0" w:type="dxa"/>
            <w:left w:w="108" w:type="dxa"/>
            <w:bottom w:w="0" w:type="dxa"/>
            <w:right w:w="108" w:type="dxa"/>
          </w:tblCellMar>
        </w:tblPrEx>
        <w:trPr>
          <w:trHeight w:val="499" w:hRule="atLeast"/>
        </w:trPr>
        <w:tc>
          <w:tcPr>
            <w:tcW w:w="10087" w:type="dxa"/>
            <w:gridSpan w:val="11"/>
            <w:tcBorders>
              <w:top w:val="nil"/>
              <w:left w:val="nil"/>
              <w:bottom w:val="nil"/>
              <w:right w:val="nil"/>
            </w:tcBorders>
            <w:noWrap/>
            <w:vAlign w:val="center"/>
          </w:tcPr>
          <w:p w14:paraId="3E21FF34">
            <w:pPr>
              <w:widowControl/>
              <w:jc w:val="center"/>
              <w:textAlignment w:val="center"/>
              <w:rPr>
                <w:rFonts w:hint="eastAsia" w:ascii="宋体" w:hAnsi="宋体" w:cs="宋体"/>
                <w:b/>
                <w:bCs/>
                <w:color w:val="auto"/>
                <w:sz w:val="24"/>
              </w:rPr>
            </w:pPr>
            <w:r>
              <w:rPr>
                <w:rFonts w:hint="eastAsia" w:ascii="宋体" w:hAnsi="宋体" w:cs="宋体"/>
                <w:b/>
                <w:bCs/>
                <w:color w:val="auto"/>
                <w:kern w:val="0"/>
                <w:sz w:val="24"/>
                <w:lang w:bidi="ar"/>
              </w:rPr>
              <w:t>单套定制家私包采购报价清单</w:t>
            </w:r>
          </w:p>
        </w:tc>
      </w:tr>
      <w:tr w14:paraId="3A58F34C">
        <w:tblPrEx>
          <w:tblCellMar>
            <w:top w:w="0" w:type="dxa"/>
            <w:left w:w="108" w:type="dxa"/>
            <w:bottom w:w="0" w:type="dxa"/>
            <w:right w:w="108" w:type="dxa"/>
          </w:tblCellMar>
        </w:tblPrEx>
        <w:trPr>
          <w:trHeight w:val="645"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21B8C7DA">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序号</w:t>
            </w:r>
          </w:p>
        </w:tc>
        <w:tc>
          <w:tcPr>
            <w:tcW w:w="581" w:type="dxa"/>
            <w:tcBorders>
              <w:top w:val="single" w:color="000000" w:sz="4" w:space="0"/>
              <w:left w:val="single" w:color="000000" w:sz="4" w:space="0"/>
              <w:bottom w:val="single" w:color="000000" w:sz="4" w:space="0"/>
              <w:right w:val="single" w:color="000000" w:sz="4" w:space="0"/>
            </w:tcBorders>
            <w:noWrap/>
            <w:vAlign w:val="center"/>
          </w:tcPr>
          <w:p w14:paraId="48D7CD30">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名称</w:t>
            </w:r>
          </w:p>
        </w:tc>
        <w:tc>
          <w:tcPr>
            <w:tcW w:w="2175" w:type="dxa"/>
            <w:tcBorders>
              <w:top w:val="single" w:color="000000" w:sz="4" w:space="0"/>
              <w:left w:val="single" w:color="000000" w:sz="4" w:space="0"/>
              <w:bottom w:val="single" w:color="000000" w:sz="4" w:space="0"/>
              <w:right w:val="single" w:color="000000" w:sz="4" w:space="0"/>
            </w:tcBorders>
            <w:noWrap/>
            <w:vAlign w:val="center"/>
          </w:tcPr>
          <w:p w14:paraId="19E77FDC">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技术规格最低要求</w:t>
            </w:r>
          </w:p>
        </w:tc>
        <w:tc>
          <w:tcPr>
            <w:tcW w:w="769" w:type="dxa"/>
            <w:tcBorders>
              <w:top w:val="single" w:color="000000" w:sz="4" w:space="0"/>
              <w:left w:val="single" w:color="000000" w:sz="4" w:space="0"/>
              <w:bottom w:val="single" w:color="000000" w:sz="4" w:space="0"/>
              <w:right w:val="single" w:color="000000" w:sz="4" w:space="0"/>
            </w:tcBorders>
            <w:noWrap/>
            <w:vAlign w:val="center"/>
          </w:tcPr>
          <w:p w14:paraId="6120D118">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单位</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43026C1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数量</w:t>
            </w:r>
          </w:p>
        </w:tc>
        <w:tc>
          <w:tcPr>
            <w:tcW w:w="713" w:type="dxa"/>
            <w:tcBorders>
              <w:top w:val="single" w:color="000000" w:sz="4" w:space="0"/>
              <w:left w:val="single" w:color="000000" w:sz="4" w:space="0"/>
              <w:bottom w:val="single" w:color="000000" w:sz="4" w:space="0"/>
              <w:right w:val="single" w:color="000000" w:sz="4" w:space="0"/>
            </w:tcBorders>
            <w:vAlign w:val="center"/>
          </w:tcPr>
          <w:p w14:paraId="4EF8CD0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除税单价</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 xml:space="preserve">(元) </w:t>
            </w:r>
          </w:p>
        </w:tc>
        <w:tc>
          <w:tcPr>
            <w:tcW w:w="712" w:type="dxa"/>
            <w:tcBorders>
              <w:top w:val="single" w:color="000000" w:sz="4" w:space="0"/>
              <w:left w:val="single" w:color="000000" w:sz="4" w:space="0"/>
              <w:bottom w:val="single" w:color="000000" w:sz="4" w:space="0"/>
              <w:right w:val="single" w:color="000000" w:sz="4" w:space="0"/>
            </w:tcBorders>
            <w:vAlign w:val="center"/>
          </w:tcPr>
          <w:p w14:paraId="39DE3AE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税金</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 xml:space="preserve">(元) </w:t>
            </w:r>
          </w:p>
        </w:tc>
        <w:tc>
          <w:tcPr>
            <w:tcW w:w="732" w:type="dxa"/>
            <w:tcBorders>
              <w:top w:val="single" w:color="000000" w:sz="4" w:space="0"/>
              <w:left w:val="single" w:color="000000" w:sz="4" w:space="0"/>
              <w:bottom w:val="single" w:color="000000" w:sz="4" w:space="0"/>
              <w:right w:val="single" w:color="000000" w:sz="4" w:space="0"/>
            </w:tcBorders>
            <w:vAlign w:val="center"/>
          </w:tcPr>
          <w:p w14:paraId="1D86234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含税单价</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 xml:space="preserve">(元) </w:t>
            </w:r>
          </w:p>
        </w:tc>
        <w:tc>
          <w:tcPr>
            <w:tcW w:w="731" w:type="dxa"/>
            <w:tcBorders>
              <w:top w:val="single" w:color="000000" w:sz="4" w:space="0"/>
              <w:left w:val="single" w:color="000000" w:sz="4" w:space="0"/>
              <w:bottom w:val="single" w:color="000000" w:sz="4" w:space="0"/>
              <w:right w:val="single" w:color="000000" w:sz="4" w:space="0"/>
            </w:tcBorders>
            <w:vAlign w:val="center"/>
          </w:tcPr>
          <w:p w14:paraId="3E035A11">
            <w:pPr>
              <w:widowControl/>
              <w:textAlignment w:val="center"/>
              <w:rPr>
                <w:rFonts w:hint="eastAsia" w:ascii="宋体" w:hAnsi="宋体" w:cs="宋体"/>
                <w:color w:val="auto"/>
                <w:sz w:val="24"/>
              </w:rPr>
            </w:pPr>
            <w:r>
              <w:rPr>
                <w:rFonts w:hint="eastAsia" w:ascii="宋体" w:hAnsi="宋体" w:cs="宋体"/>
                <w:color w:val="auto"/>
                <w:kern w:val="0"/>
                <w:sz w:val="24"/>
                <w:lang w:bidi="ar"/>
              </w:rPr>
              <w:t>合价</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 xml:space="preserve">(元) </w:t>
            </w:r>
          </w:p>
        </w:tc>
        <w:tc>
          <w:tcPr>
            <w:tcW w:w="2269" w:type="dxa"/>
            <w:tcBorders>
              <w:top w:val="single" w:color="000000" w:sz="4" w:space="0"/>
              <w:left w:val="single" w:color="000000" w:sz="4" w:space="0"/>
              <w:bottom w:val="single" w:color="000000" w:sz="4" w:space="0"/>
              <w:right w:val="single" w:color="000000" w:sz="4" w:space="0"/>
            </w:tcBorders>
            <w:noWrap/>
            <w:vAlign w:val="center"/>
          </w:tcPr>
          <w:p w14:paraId="21A315C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填报技术规格</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0886E70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图片式样</w:t>
            </w:r>
          </w:p>
        </w:tc>
      </w:tr>
      <w:tr w14:paraId="6987D008">
        <w:tblPrEx>
          <w:tblCellMar>
            <w:top w:w="0" w:type="dxa"/>
            <w:left w:w="108" w:type="dxa"/>
            <w:bottom w:w="0" w:type="dxa"/>
            <w:right w:w="108" w:type="dxa"/>
          </w:tblCellMar>
        </w:tblPrEx>
        <w:trPr>
          <w:trHeight w:val="5500"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017A6D9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581" w:type="dxa"/>
            <w:tcBorders>
              <w:top w:val="single" w:color="000000" w:sz="4" w:space="0"/>
              <w:left w:val="single" w:color="000000" w:sz="4" w:space="0"/>
              <w:bottom w:val="single" w:color="000000" w:sz="4" w:space="0"/>
              <w:right w:val="single" w:color="000000" w:sz="4" w:space="0"/>
            </w:tcBorders>
            <w:vAlign w:val="center"/>
          </w:tcPr>
          <w:p w14:paraId="50CB48E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2.4米高定制柜</w:t>
            </w:r>
          </w:p>
        </w:tc>
        <w:tc>
          <w:tcPr>
            <w:tcW w:w="2175" w:type="dxa"/>
            <w:tcBorders>
              <w:top w:val="single" w:color="000000" w:sz="4" w:space="0"/>
              <w:left w:val="single" w:color="000000" w:sz="4" w:space="0"/>
              <w:bottom w:val="single" w:color="000000" w:sz="4" w:space="0"/>
              <w:right w:val="single" w:color="000000" w:sz="4" w:space="0"/>
            </w:tcBorders>
          </w:tcPr>
          <w:p w14:paraId="21B84985">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1、柜体、门板配置情况：双饰面柜体、隔板、门板，(抽屉、玻璃门、灯带等不含)；</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2、板材材质：实木颗粒板；</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3、厚度：门板/柜身/隔板18mm，背板大于等于5mm；</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4、环保等级：ENF；</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7、其他：</w:t>
            </w:r>
          </w:p>
        </w:tc>
        <w:tc>
          <w:tcPr>
            <w:tcW w:w="769" w:type="dxa"/>
            <w:tcBorders>
              <w:top w:val="single" w:color="000000" w:sz="4" w:space="0"/>
              <w:left w:val="single" w:color="000000" w:sz="4" w:space="0"/>
              <w:bottom w:val="single" w:color="000000" w:sz="4" w:space="0"/>
              <w:right w:val="single" w:color="000000" w:sz="4" w:space="0"/>
            </w:tcBorders>
            <w:vAlign w:val="center"/>
          </w:tcPr>
          <w:p w14:paraId="35E92778">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组</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（20m2/组，水平投影面积)</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4C9BEA41">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14769A48">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noWrap/>
            <w:vAlign w:val="center"/>
          </w:tcPr>
          <w:p w14:paraId="25096764">
            <w:pPr>
              <w:widowControl/>
              <w:jc w:val="center"/>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noWrap/>
            <w:vAlign w:val="center"/>
          </w:tcPr>
          <w:p w14:paraId="74D039BF">
            <w:pPr>
              <w:widowControl/>
              <w:jc w:val="center"/>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noWrap/>
            <w:vAlign w:val="center"/>
          </w:tcPr>
          <w:p w14:paraId="73444D18">
            <w:pPr>
              <w:widowControl/>
              <w:jc w:val="center"/>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1E4E838A">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1、配置情况：</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2、板材材质：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3、厚度：门板/柜身/隔板</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背板</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7、其他：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4518F550">
            <w:pPr>
              <w:widowControl/>
              <w:jc w:val="center"/>
              <w:textAlignment w:val="center"/>
              <w:rPr>
                <w:rFonts w:hint="eastAsia" w:ascii="宋体" w:hAnsi="宋体" w:cs="宋体"/>
                <w:color w:val="auto"/>
                <w:sz w:val="24"/>
              </w:rPr>
            </w:pPr>
          </w:p>
        </w:tc>
      </w:tr>
      <w:tr w14:paraId="79353DCF">
        <w:tblPrEx>
          <w:tblCellMar>
            <w:top w:w="0" w:type="dxa"/>
            <w:left w:w="108" w:type="dxa"/>
            <w:bottom w:w="0" w:type="dxa"/>
            <w:right w:w="108" w:type="dxa"/>
          </w:tblCellMar>
        </w:tblPrEx>
        <w:trPr>
          <w:trHeight w:val="5280"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1A44B82C">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2</w:t>
            </w:r>
          </w:p>
        </w:tc>
        <w:tc>
          <w:tcPr>
            <w:tcW w:w="581" w:type="dxa"/>
            <w:tcBorders>
              <w:top w:val="single" w:color="000000" w:sz="4" w:space="0"/>
              <w:left w:val="single" w:color="000000" w:sz="4" w:space="0"/>
              <w:bottom w:val="single" w:color="000000" w:sz="4" w:space="0"/>
              <w:right w:val="single" w:color="000000" w:sz="4" w:space="0"/>
            </w:tcBorders>
            <w:vAlign w:val="center"/>
          </w:tcPr>
          <w:p w14:paraId="595A2DB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br w:type="textWrapping"/>
            </w:r>
            <w:r>
              <w:rPr>
                <w:rFonts w:hint="eastAsia" w:ascii="宋体" w:hAnsi="宋体" w:cs="宋体"/>
                <w:color w:val="auto"/>
                <w:kern w:val="0"/>
                <w:sz w:val="24"/>
                <w:lang w:bidi="ar"/>
              </w:rPr>
              <w:t>沙发</w:t>
            </w:r>
          </w:p>
        </w:tc>
        <w:tc>
          <w:tcPr>
            <w:tcW w:w="2175" w:type="dxa"/>
            <w:tcBorders>
              <w:top w:val="single" w:color="000000" w:sz="4" w:space="0"/>
              <w:left w:val="single" w:color="000000" w:sz="4" w:space="0"/>
              <w:bottom w:val="single" w:color="000000" w:sz="4" w:space="0"/>
              <w:right w:val="single" w:color="000000" w:sz="4" w:space="0"/>
            </w:tcBorders>
          </w:tcPr>
          <w:p w14:paraId="739905D2">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1、规格尺寸：2.4米宽及以上三人位一字型；</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2、材质：面料：科技布/PU皮/超纤；框架材质：实木；填充物：高回弹海绵；沙发脚：碳素钢或实木；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noWrap/>
            <w:vAlign w:val="center"/>
          </w:tcPr>
          <w:p w14:paraId="50812D8B">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06BD08D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1D08BD54">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noWrap/>
            <w:vAlign w:val="center"/>
          </w:tcPr>
          <w:p w14:paraId="73541335">
            <w:pPr>
              <w:widowControl/>
              <w:jc w:val="center"/>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noWrap/>
            <w:vAlign w:val="center"/>
          </w:tcPr>
          <w:p w14:paraId="7B71D455">
            <w:pPr>
              <w:widowControl/>
              <w:jc w:val="center"/>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noWrap/>
            <w:vAlign w:val="center"/>
          </w:tcPr>
          <w:p w14:paraId="58EBB94A">
            <w:pPr>
              <w:widowControl/>
              <w:jc w:val="center"/>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663021D3">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；2、材质：面料：</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；填充物：</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；沙发脚：</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5F8E829A">
            <w:pPr>
              <w:widowControl/>
              <w:jc w:val="center"/>
              <w:textAlignment w:val="center"/>
              <w:rPr>
                <w:rFonts w:hint="eastAsia" w:ascii="宋体" w:hAnsi="宋体" w:cs="宋体"/>
                <w:color w:val="auto"/>
                <w:sz w:val="24"/>
              </w:rPr>
            </w:pPr>
          </w:p>
        </w:tc>
      </w:tr>
      <w:tr w14:paraId="26BE950B">
        <w:tblPrEx>
          <w:tblCellMar>
            <w:top w:w="0" w:type="dxa"/>
            <w:left w:w="108" w:type="dxa"/>
            <w:bottom w:w="0" w:type="dxa"/>
            <w:right w:w="108" w:type="dxa"/>
          </w:tblCellMar>
        </w:tblPrEx>
        <w:trPr>
          <w:trHeight w:val="90"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0A9135AC">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3</w:t>
            </w:r>
          </w:p>
        </w:tc>
        <w:tc>
          <w:tcPr>
            <w:tcW w:w="581" w:type="dxa"/>
            <w:tcBorders>
              <w:top w:val="single" w:color="000000" w:sz="4" w:space="0"/>
              <w:left w:val="single" w:color="000000" w:sz="4" w:space="0"/>
              <w:bottom w:val="single" w:color="000000" w:sz="4" w:space="0"/>
              <w:right w:val="single" w:color="000000" w:sz="4" w:space="0"/>
            </w:tcBorders>
            <w:vAlign w:val="center"/>
          </w:tcPr>
          <w:p w14:paraId="7FC4CA8B">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br w:type="textWrapping"/>
            </w:r>
            <w:r>
              <w:rPr>
                <w:rFonts w:hint="eastAsia" w:ascii="宋体" w:hAnsi="宋体" w:cs="宋体"/>
                <w:color w:val="auto"/>
                <w:kern w:val="0"/>
                <w:sz w:val="24"/>
                <w:lang w:bidi="ar"/>
              </w:rPr>
              <w:t>茶几</w:t>
            </w:r>
          </w:p>
        </w:tc>
        <w:tc>
          <w:tcPr>
            <w:tcW w:w="2175" w:type="dxa"/>
            <w:tcBorders>
              <w:top w:val="single" w:color="000000" w:sz="4" w:space="0"/>
              <w:left w:val="single" w:color="000000" w:sz="4" w:space="0"/>
              <w:bottom w:val="single" w:color="000000" w:sz="4" w:space="0"/>
              <w:right w:val="single" w:color="000000" w:sz="4" w:space="0"/>
            </w:tcBorders>
          </w:tcPr>
          <w:p w14:paraId="3B9B2624">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1、规格尺寸：0.8米宽及以上；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2、材质：台面：6mm厚及以上；框架材质：碳素钢/密度板；几脚材质：实木/碳素钢；</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noWrap/>
            <w:vAlign w:val="center"/>
          </w:tcPr>
          <w:p w14:paraId="4A12FF6E">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55DDFC52">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4025BC11">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noWrap/>
            <w:vAlign w:val="center"/>
          </w:tcPr>
          <w:p w14:paraId="02ACAFB2">
            <w:pPr>
              <w:widowControl/>
              <w:jc w:val="center"/>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noWrap/>
            <w:vAlign w:val="center"/>
          </w:tcPr>
          <w:p w14:paraId="35DCF923">
            <w:pPr>
              <w:widowControl/>
              <w:jc w:val="center"/>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noWrap/>
            <w:vAlign w:val="center"/>
          </w:tcPr>
          <w:p w14:paraId="794E7367">
            <w:pPr>
              <w:widowControl/>
              <w:jc w:val="center"/>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51AE3665">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；2、材质：台面：</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；几脚材质：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2369A3D3">
            <w:pPr>
              <w:widowControl/>
              <w:jc w:val="center"/>
              <w:textAlignment w:val="center"/>
              <w:rPr>
                <w:rFonts w:hint="eastAsia" w:ascii="宋体" w:hAnsi="宋体" w:cs="宋体"/>
                <w:color w:val="auto"/>
                <w:sz w:val="24"/>
              </w:rPr>
            </w:pPr>
          </w:p>
        </w:tc>
      </w:tr>
      <w:tr w14:paraId="0E26146C">
        <w:tblPrEx>
          <w:tblCellMar>
            <w:top w:w="0" w:type="dxa"/>
            <w:left w:w="108" w:type="dxa"/>
            <w:bottom w:w="0" w:type="dxa"/>
            <w:right w:w="108" w:type="dxa"/>
          </w:tblCellMar>
        </w:tblPrEx>
        <w:trPr>
          <w:trHeight w:val="5060"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78689418">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4</w:t>
            </w:r>
          </w:p>
        </w:tc>
        <w:tc>
          <w:tcPr>
            <w:tcW w:w="581" w:type="dxa"/>
            <w:tcBorders>
              <w:top w:val="single" w:color="000000" w:sz="4" w:space="0"/>
              <w:left w:val="single" w:color="000000" w:sz="4" w:space="0"/>
              <w:bottom w:val="single" w:color="000000" w:sz="4" w:space="0"/>
              <w:right w:val="single" w:color="000000" w:sz="4" w:space="0"/>
            </w:tcBorders>
            <w:vAlign w:val="center"/>
          </w:tcPr>
          <w:p w14:paraId="5F06596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br w:type="textWrapping"/>
            </w:r>
            <w:r>
              <w:rPr>
                <w:rFonts w:hint="eastAsia" w:ascii="宋体" w:hAnsi="宋体" w:cs="宋体"/>
                <w:color w:val="auto"/>
                <w:kern w:val="0"/>
                <w:sz w:val="24"/>
                <w:lang w:bidi="ar"/>
              </w:rPr>
              <w:t>餐桌</w:t>
            </w:r>
          </w:p>
        </w:tc>
        <w:tc>
          <w:tcPr>
            <w:tcW w:w="2175" w:type="dxa"/>
            <w:tcBorders>
              <w:top w:val="single" w:color="000000" w:sz="4" w:space="0"/>
              <w:left w:val="single" w:color="000000" w:sz="4" w:space="0"/>
              <w:bottom w:val="single" w:color="000000" w:sz="4" w:space="0"/>
              <w:right w:val="single" w:color="000000" w:sz="4" w:space="0"/>
            </w:tcBorders>
          </w:tcPr>
          <w:p w14:paraId="11A0817D">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1、规格尺寸：1.3米宽及以上；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2、材质：台面：6mm厚及以上岩板；框架材质：实木/碳素钢；桌脚材质：实木/碳素钢；</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noWrap/>
            <w:vAlign w:val="center"/>
          </w:tcPr>
          <w:p w14:paraId="55944D4F">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3566B2AE">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3FE19507">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noWrap/>
            <w:vAlign w:val="center"/>
          </w:tcPr>
          <w:p w14:paraId="4C1F02E3">
            <w:pPr>
              <w:widowControl/>
              <w:jc w:val="center"/>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noWrap/>
            <w:vAlign w:val="center"/>
          </w:tcPr>
          <w:p w14:paraId="5CBE9408">
            <w:pPr>
              <w:widowControl/>
              <w:jc w:val="center"/>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noWrap/>
            <w:vAlign w:val="center"/>
          </w:tcPr>
          <w:p w14:paraId="1641E162">
            <w:pPr>
              <w:widowControl/>
              <w:jc w:val="center"/>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78702458">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2、材质：台面：</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；几脚材质：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012F4992">
            <w:pPr>
              <w:widowControl/>
              <w:jc w:val="center"/>
              <w:textAlignment w:val="center"/>
              <w:rPr>
                <w:rFonts w:hint="eastAsia" w:ascii="宋体" w:hAnsi="宋体" w:cs="宋体"/>
                <w:color w:val="auto"/>
                <w:sz w:val="24"/>
              </w:rPr>
            </w:pPr>
          </w:p>
        </w:tc>
      </w:tr>
      <w:tr w14:paraId="190F05BD">
        <w:tblPrEx>
          <w:tblCellMar>
            <w:top w:w="0" w:type="dxa"/>
            <w:left w:w="108" w:type="dxa"/>
            <w:bottom w:w="0" w:type="dxa"/>
            <w:right w:w="108" w:type="dxa"/>
          </w:tblCellMar>
        </w:tblPrEx>
        <w:trPr>
          <w:trHeight w:val="2210" w:hRule="atLeast"/>
        </w:trPr>
        <w:tc>
          <w:tcPr>
            <w:tcW w:w="431" w:type="dxa"/>
            <w:tcBorders>
              <w:top w:val="single" w:color="000000" w:sz="4" w:space="0"/>
              <w:left w:val="single" w:color="000000" w:sz="4" w:space="0"/>
              <w:bottom w:val="single" w:color="000000" w:sz="4" w:space="0"/>
              <w:right w:val="single" w:color="000000" w:sz="4" w:space="0"/>
            </w:tcBorders>
            <w:noWrap/>
            <w:vAlign w:val="center"/>
          </w:tcPr>
          <w:p w14:paraId="65EA376B">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5</w:t>
            </w:r>
          </w:p>
        </w:tc>
        <w:tc>
          <w:tcPr>
            <w:tcW w:w="581" w:type="dxa"/>
            <w:tcBorders>
              <w:top w:val="single" w:color="000000" w:sz="4" w:space="0"/>
              <w:left w:val="single" w:color="000000" w:sz="4" w:space="0"/>
              <w:bottom w:val="single" w:color="000000" w:sz="4" w:space="0"/>
              <w:right w:val="single" w:color="000000" w:sz="4" w:space="0"/>
            </w:tcBorders>
            <w:vAlign w:val="center"/>
          </w:tcPr>
          <w:p w14:paraId="655CF473">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br w:type="textWrapping"/>
            </w:r>
            <w:r>
              <w:rPr>
                <w:rFonts w:hint="eastAsia" w:ascii="宋体" w:hAnsi="宋体" w:cs="宋体"/>
                <w:color w:val="auto"/>
                <w:kern w:val="0"/>
                <w:sz w:val="24"/>
                <w:lang w:bidi="ar"/>
              </w:rPr>
              <w:t>餐椅</w:t>
            </w:r>
          </w:p>
        </w:tc>
        <w:tc>
          <w:tcPr>
            <w:tcW w:w="2175" w:type="dxa"/>
            <w:tcBorders>
              <w:top w:val="single" w:color="000000" w:sz="4" w:space="0"/>
              <w:left w:val="single" w:color="000000" w:sz="4" w:space="0"/>
              <w:bottom w:val="single" w:color="000000" w:sz="4" w:space="0"/>
              <w:right w:val="single" w:color="000000" w:sz="4" w:space="0"/>
            </w:tcBorders>
          </w:tcPr>
          <w:p w14:paraId="3A1AC994">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1、规格尺寸：0.4米宽及以上靠背椅</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2、材质：面料：科技布/PU皮/PVC皮/超纤；框架材质：实木/碳素钢；填充物：高回弹海绵；椅脚：碳素钢或实木；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noWrap/>
            <w:vAlign w:val="center"/>
          </w:tcPr>
          <w:p w14:paraId="30B3F88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noWrap/>
            <w:vAlign w:val="center"/>
          </w:tcPr>
          <w:p w14:paraId="03520AA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4</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7D6F06DF">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noWrap/>
            <w:vAlign w:val="center"/>
          </w:tcPr>
          <w:p w14:paraId="27679C4A">
            <w:pPr>
              <w:widowControl/>
              <w:jc w:val="center"/>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noWrap/>
            <w:vAlign w:val="center"/>
          </w:tcPr>
          <w:p w14:paraId="4CE3966D">
            <w:pPr>
              <w:widowControl/>
              <w:jc w:val="center"/>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noWrap/>
            <w:vAlign w:val="center"/>
          </w:tcPr>
          <w:p w14:paraId="520EC1BE">
            <w:pPr>
              <w:widowControl/>
              <w:jc w:val="center"/>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1B2B7051">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；2、材质：面料：</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；填充物：</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；椅脚：</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6C80822E">
            <w:pPr>
              <w:widowControl/>
              <w:jc w:val="center"/>
              <w:textAlignment w:val="center"/>
              <w:rPr>
                <w:rFonts w:hint="eastAsia" w:ascii="宋体" w:hAnsi="宋体" w:cs="宋体"/>
                <w:color w:val="auto"/>
                <w:sz w:val="24"/>
              </w:rPr>
            </w:pPr>
          </w:p>
        </w:tc>
      </w:tr>
      <w:tr w14:paraId="602437EC">
        <w:tblPrEx>
          <w:tblCellMar>
            <w:top w:w="0" w:type="dxa"/>
            <w:left w:w="108" w:type="dxa"/>
            <w:bottom w:w="0" w:type="dxa"/>
            <w:right w:w="108" w:type="dxa"/>
          </w:tblCellMar>
        </w:tblPrEx>
        <w:trPr>
          <w:trHeight w:val="5240" w:hRule="atLeast"/>
        </w:trPr>
        <w:tc>
          <w:tcPr>
            <w:tcW w:w="431" w:type="dxa"/>
            <w:tcBorders>
              <w:top w:val="single" w:color="000000" w:sz="4" w:space="0"/>
              <w:left w:val="single" w:color="000000" w:sz="4" w:space="0"/>
              <w:bottom w:val="single" w:color="000000" w:sz="4" w:space="0"/>
              <w:right w:val="single" w:color="000000" w:sz="4" w:space="0"/>
            </w:tcBorders>
            <w:vAlign w:val="center"/>
          </w:tcPr>
          <w:p w14:paraId="705BF435">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6</w:t>
            </w:r>
          </w:p>
        </w:tc>
        <w:tc>
          <w:tcPr>
            <w:tcW w:w="581" w:type="dxa"/>
            <w:tcBorders>
              <w:top w:val="single" w:color="000000" w:sz="4" w:space="0"/>
              <w:left w:val="single" w:color="000000" w:sz="4" w:space="0"/>
              <w:bottom w:val="single" w:color="000000" w:sz="4" w:space="0"/>
              <w:right w:val="single" w:color="000000" w:sz="4" w:space="0"/>
            </w:tcBorders>
            <w:vAlign w:val="center"/>
          </w:tcPr>
          <w:p w14:paraId="12B47936">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主卧床</w:t>
            </w:r>
          </w:p>
        </w:tc>
        <w:tc>
          <w:tcPr>
            <w:tcW w:w="2175" w:type="dxa"/>
            <w:tcBorders>
              <w:top w:val="single" w:color="000000" w:sz="4" w:space="0"/>
              <w:left w:val="single" w:color="000000" w:sz="4" w:space="0"/>
              <w:bottom w:val="single" w:color="000000" w:sz="4" w:space="0"/>
              <w:right w:val="single" w:color="000000" w:sz="4" w:space="0"/>
            </w:tcBorders>
          </w:tcPr>
          <w:p w14:paraId="309ACC15">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1、规格尺寸：1.8米宽软包床；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面料：科技布或PU皮或超纤；</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框架材质：实木；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填充物：高回弹海绵；</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床侧板材质：实木多层板；</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排骨架：钢木复合排骨架；</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床脚：碳素钢或实木；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vAlign w:val="center"/>
          </w:tcPr>
          <w:p w14:paraId="3D9415B3">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vAlign w:val="center"/>
          </w:tcPr>
          <w:p w14:paraId="7511463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32BFDC83">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vAlign w:val="center"/>
          </w:tcPr>
          <w:p w14:paraId="057B6556">
            <w:pPr>
              <w:widowControl/>
              <w:jc w:val="right"/>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vAlign w:val="center"/>
          </w:tcPr>
          <w:p w14:paraId="69EB3C40">
            <w:pPr>
              <w:widowControl/>
              <w:jc w:val="right"/>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vAlign w:val="center"/>
          </w:tcPr>
          <w:p w14:paraId="0073634F">
            <w:pPr>
              <w:widowControl/>
              <w:jc w:val="right"/>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65B56B12">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；2、材质：面料：</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；填充物：</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；椅脚：</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7BD9732B">
            <w:pPr>
              <w:widowControl/>
              <w:jc w:val="center"/>
              <w:textAlignment w:val="center"/>
              <w:rPr>
                <w:rFonts w:hint="eastAsia" w:ascii="宋体" w:hAnsi="宋体" w:cs="宋体"/>
                <w:color w:val="auto"/>
                <w:sz w:val="24"/>
              </w:rPr>
            </w:pPr>
          </w:p>
        </w:tc>
      </w:tr>
      <w:tr w14:paraId="0B22F697">
        <w:tblPrEx>
          <w:tblCellMar>
            <w:top w:w="0" w:type="dxa"/>
            <w:left w:w="108" w:type="dxa"/>
            <w:bottom w:w="0" w:type="dxa"/>
            <w:right w:w="108" w:type="dxa"/>
          </w:tblCellMar>
        </w:tblPrEx>
        <w:trPr>
          <w:trHeight w:val="5300" w:hRule="atLeast"/>
        </w:trPr>
        <w:tc>
          <w:tcPr>
            <w:tcW w:w="431" w:type="dxa"/>
            <w:tcBorders>
              <w:top w:val="single" w:color="000000" w:sz="4" w:space="0"/>
              <w:left w:val="single" w:color="000000" w:sz="4" w:space="0"/>
              <w:bottom w:val="single" w:color="000000" w:sz="4" w:space="0"/>
              <w:right w:val="single" w:color="000000" w:sz="4" w:space="0"/>
            </w:tcBorders>
            <w:vAlign w:val="center"/>
          </w:tcPr>
          <w:p w14:paraId="688249F3">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7</w:t>
            </w:r>
          </w:p>
        </w:tc>
        <w:tc>
          <w:tcPr>
            <w:tcW w:w="581" w:type="dxa"/>
            <w:tcBorders>
              <w:top w:val="single" w:color="000000" w:sz="4" w:space="0"/>
              <w:left w:val="single" w:color="000000" w:sz="4" w:space="0"/>
              <w:bottom w:val="single" w:color="000000" w:sz="4" w:space="0"/>
              <w:right w:val="single" w:color="000000" w:sz="4" w:space="0"/>
            </w:tcBorders>
            <w:vAlign w:val="center"/>
          </w:tcPr>
          <w:p w14:paraId="695BDAB9">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次卧床</w:t>
            </w:r>
          </w:p>
        </w:tc>
        <w:tc>
          <w:tcPr>
            <w:tcW w:w="2175" w:type="dxa"/>
            <w:tcBorders>
              <w:top w:val="single" w:color="000000" w:sz="4" w:space="0"/>
              <w:left w:val="single" w:color="000000" w:sz="4" w:space="0"/>
              <w:bottom w:val="single" w:color="000000" w:sz="4" w:space="0"/>
              <w:right w:val="single" w:color="000000" w:sz="4" w:space="0"/>
            </w:tcBorders>
          </w:tcPr>
          <w:p w14:paraId="03E2D72F">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1、规格尺寸：1.5米宽软包床；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2、材质：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面料：科技布或PU皮或超纤；</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框架材质：实木；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填充物：高回弹海绵；</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床侧板材质：实木多层板；</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排骨架：钢木复合排骨架；</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床脚：碳素钢或实木；</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3、环保等级：EO级；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4、五金配件品牌：国产优质以上；</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5、可选系列：1种及以上，需填写名称；</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6、其他：</w:t>
            </w:r>
          </w:p>
        </w:tc>
        <w:tc>
          <w:tcPr>
            <w:tcW w:w="769" w:type="dxa"/>
            <w:tcBorders>
              <w:top w:val="single" w:color="000000" w:sz="4" w:space="0"/>
              <w:left w:val="single" w:color="000000" w:sz="4" w:space="0"/>
              <w:bottom w:val="single" w:color="000000" w:sz="4" w:space="0"/>
              <w:right w:val="single" w:color="000000" w:sz="4" w:space="0"/>
            </w:tcBorders>
            <w:vAlign w:val="center"/>
          </w:tcPr>
          <w:p w14:paraId="3065CFBC">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件</w:t>
            </w:r>
          </w:p>
        </w:tc>
        <w:tc>
          <w:tcPr>
            <w:tcW w:w="431" w:type="dxa"/>
            <w:tcBorders>
              <w:top w:val="single" w:color="000000" w:sz="4" w:space="0"/>
              <w:left w:val="single" w:color="000000" w:sz="4" w:space="0"/>
              <w:bottom w:val="single" w:color="000000" w:sz="4" w:space="0"/>
              <w:right w:val="single" w:color="000000" w:sz="4" w:space="0"/>
            </w:tcBorders>
            <w:vAlign w:val="center"/>
          </w:tcPr>
          <w:p w14:paraId="4CDF38D6">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1</w:t>
            </w:r>
          </w:p>
        </w:tc>
        <w:tc>
          <w:tcPr>
            <w:tcW w:w="713" w:type="dxa"/>
            <w:tcBorders>
              <w:top w:val="single" w:color="000000" w:sz="4" w:space="0"/>
              <w:left w:val="single" w:color="000000" w:sz="4" w:space="0"/>
              <w:bottom w:val="single" w:color="000000" w:sz="4" w:space="0"/>
              <w:right w:val="single" w:color="000000" w:sz="4" w:space="0"/>
            </w:tcBorders>
            <w:noWrap/>
            <w:vAlign w:val="center"/>
          </w:tcPr>
          <w:p w14:paraId="2A9445E8">
            <w:pPr>
              <w:widowControl/>
              <w:jc w:val="center"/>
              <w:textAlignment w:val="center"/>
              <w:rPr>
                <w:rFonts w:hint="eastAsia" w:ascii="宋体" w:hAnsi="宋体" w:cs="宋体"/>
                <w:color w:val="auto"/>
                <w:sz w:val="24"/>
              </w:rPr>
            </w:pPr>
          </w:p>
        </w:tc>
        <w:tc>
          <w:tcPr>
            <w:tcW w:w="712" w:type="dxa"/>
            <w:tcBorders>
              <w:top w:val="single" w:color="000000" w:sz="4" w:space="0"/>
              <w:left w:val="single" w:color="000000" w:sz="4" w:space="0"/>
              <w:bottom w:val="single" w:color="000000" w:sz="4" w:space="0"/>
              <w:right w:val="single" w:color="000000" w:sz="4" w:space="0"/>
            </w:tcBorders>
            <w:vAlign w:val="center"/>
          </w:tcPr>
          <w:p w14:paraId="154A98CB">
            <w:pPr>
              <w:widowControl/>
              <w:jc w:val="right"/>
              <w:textAlignment w:val="center"/>
              <w:rPr>
                <w:rFonts w:hint="eastAsia" w:ascii="宋体" w:hAnsi="宋体" w:cs="宋体"/>
                <w:color w:val="auto"/>
                <w:sz w:val="24"/>
              </w:rPr>
            </w:pPr>
          </w:p>
        </w:tc>
        <w:tc>
          <w:tcPr>
            <w:tcW w:w="732" w:type="dxa"/>
            <w:tcBorders>
              <w:top w:val="single" w:color="000000" w:sz="4" w:space="0"/>
              <w:left w:val="single" w:color="000000" w:sz="4" w:space="0"/>
              <w:bottom w:val="single" w:color="000000" w:sz="4" w:space="0"/>
              <w:right w:val="single" w:color="000000" w:sz="4" w:space="0"/>
            </w:tcBorders>
            <w:vAlign w:val="center"/>
          </w:tcPr>
          <w:p w14:paraId="69D47078">
            <w:pPr>
              <w:widowControl/>
              <w:jc w:val="right"/>
              <w:textAlignment w:val="center"/>
              <w:rPr>
                <w:rFonts w:hint="eastAsia" w:ascii="宋体" w:hAnsi="宋体" w:cs="宋体"/>
                <w:color w:val="auto"/>
                <w:sz w:val="24"/>
              </w:rPr>
            </w:pPr>
          </w:p>
        </w:tc>
        <w:tc>
          <w:tcPr>
            <w:tcW w:w="731" w:type="dxa"/>
            <w:tcBorders>
              <w:top w:val="single" w:color="000000" w:sz="4" w:space="0"/>
              <w:left w:val="single" w:color="000000" w:sz="4" w:space="0"/>
              <w:bottom w:val="single" w:color="000000" w:sz="4" w:space="0"/>
              <w:right w:val="single" w:color="000000" w:sz="4" w:space="0"/>
            </w:tcBorders>
            <w:vAlign w:val="center"/>
          </w:tcPr>
          <w:p w14:paraId="15EBABCD">
            <w:pPr>
              <w:widowControl/>
              <w:jc w:val="right"/>
              <w:textAlignment w:val="center"/>
              <w:rPr>
                <w:rFonts w:hint="eastAsia" w:ascii="宋体" w:hAnsi="宋体" w:cs="宋体"/>
                <w:color w:val="auto"/>
                <w:sz w:val="24"/>
              </w:rPr>
            </w:pPr>
          </w:p>
        </w:tc>
        <w:tc>
          <w:tcPr>
            <w:tcW w:w="2269" w:type="dxa"/>
            <w:tcBorders>
              <w:top w:val="single" w:color="000000" w:sz="4" w:space="0"/>
              <w:left w:val="single" w:color="000000" w:sz="4" w:space="0"/>
              <w:bottom w:val="single" w:color="000000" w:sz="4" w:space="0"/>
              <w:right w:val="single" w:color="000000" w:sz="4" w:space="0"/>
            </w:tcBorders>
          </w:tcPr>
          <w:p w14:paraId="0D2A82C9">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一、填报品牌：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二、填报配置、技术、规格：</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1、规格尺寸：</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；2、材质：面料：</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；框架材质：</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；填充物：</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；椅脚：</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；3、环保等级：</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级；</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4、五金配件品牌：</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r>
              <w:rPr>
                <w:rFonts w:hint="eastAsia" w:ascii="宋体" w:hAnsi="宋体" w:cs="宋体"/>
                <w:color w:val="auto"/>
                <w:kern w:val="0"/>
                <w:sz w:val="24"/>
                <w:lang w:bidi="ar"/>
              </w:rPr>
              <w:br w:type="textWrapping"/>
            </w:r>
            <w:r>
              <w:rPr>
                <w:rFonts w:hint="eastAsia" w:ascii="宋体" w:hAnsi="宋体" w:cs="宋体"/>
                <w:color w:val="auto"/>
                <w:kern w:val="0"/>
                <w:sz w:val="24"/>
                <w:lang w:bidi="ar"/>
              </w:rPr>
              <w:t>5、可选系列：</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；6、其他：</w:t>
            </w:r>
            <w:r>
              <w:rPr>
                <w:rFonts w:hint="eastAsia" w:ascii="宋体" w:hAnsi="宋体" w:cs="宋体"/>
                <w:color w:val="auto"/>
                <w:kern w:val="0"/>
                <w:sz w:val="24"/>
                <w:u w:val="single"/>
                <w:lang w:bidi="ar"/>
              </w:rPr>
              <w:t xml:space="preserve">   </w:t>
            </w: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32E80C0C">
            <w:pPr>
              <w:widowControl/>
              <w:jc w:val="center"/>
              <w:textAlignment w:val="center"/>
              <w:rPr>
                <w:rFonts w:hint="eastAsia" w:ascii="宋体" w:hAnsi="宋体" w:cs="宋体"/>
                <w:color w:val="auto"/>
                <w:sz w:val="24"/>
              </w:rPr>
            </w:pPr>
          </w:p>
        </w:tc>
      </w:tr>
      <w:tr w14:paraId="72493923">
        <w:tblPrEx>
          <w:tblCellMar>
            <w:top w:w="0" w:type="dxa"/>
            <w:left w:w="108" w:type="dxa"/>
            <w:bottom w:w="0" w:type="dxa"/>
            <w:right w:w="108" w:type="dxa"/>
          </w:tblCellMar>
        </w:tblPrEx>
        <w:trPr>
          <w:trHeight w:val="480" w:hRule="atLeast"/>
        </w:trPr>
        <w:tc>
          <w:tcPr>
            <w:tcW w:w="7275" w:type="dxa"/>
            <w:gridSpan w:val="9"/>
            <w:tcBorders>
              <w:top w:val="single" w:color="000000" w:sz="4" w:space="0"/>
              <w:left w:val="single" w:color="000000" w:sz="4" w:space="0"/>
              <w:bottom w:val="single" w:color="000000" w:sz="4" w:space="0"/>
              <w:right w:val="single" w:color="000000" w:sz="4" w:space="0"/>
            </w:tcBorders>
            <w:vAlign w:val="center"/>
          </w:tcPr>
          <w:p w14:paraId="575AA43E">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含税总价（元）</w:t>
            </w:r>
          </w:p>
        </w:tc>
        <w:tc>
          <w:tcPr>
            <w:tcW w:w="2269" w:type="dxa"/>
            <w:tcBorders>
              <w:top w:val="single" w:color="000000" w:sz="4" w:space="0"/>
              <w:left w:val="single" w:color="000000" w:sz="4" w:space="0"/>
              <w:bottom w:val="single" w:color="000000" w:sz="4" w:space="0"/>
              <w:right w:val="single" w:color="000000" w:sz="4" w:space="0"/>
            </w:tcBorders>
            <w:vAlign w:val="center"/>
          </w:tcPr>
          <w:p w14:paraId="4B5BD0DD">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1C688F2C">
            <w:pPr>
              <w:jc w:val="center"/>
              <w:rPr>
                <w:rFonts w:hint="eastAsia" w:ascii="宋体" w:hAnsi="宋体" w:cs="宋体"/>
                <w:color w:val="auto"/>
                <w:sz w:val="24"/>
              </w:rPr>
            </w:pPr>
          </w:p>
        </w:tc>
      </w:tr>
      <w:tr w14:paraId="17AF55AD">
        <w:tblPrEx>
          <w:tblCellMar>
            <w:top w:w="0" w:type="dxa"/>
            <w:left w:w="108" w:type="dxa"/>
            <w:bottom w:w="0" w:type="dxa"/>
            <w:right w:w="108" w:type="dxa"/>
          </w:tblCellMar>
        </w:tblPrEx>
        <w:trPr>
          <w:trHeight w:val="642" w:hRule="atLeast"/>
        </w:trPr>
        <w:tc>
          <w:tcPr>
            <w:tcW w:w="7275" w:type="dxa"/>
            <w:gridSpan w:val="9"/>
            <w:tcBorders>
              <w:top w:val="single" w:color="000000" w:sz="4" w:space="0"/>
              <w:left w:val="single" w:color="000000" w:sz="4" w:space="0"/>
              <w:bottom w:val="single" w:color="000000" w:sz="4" w:space="0"/>
              <w:right w:val="single" w:color="000000" w:sz="4" w:space="0"/>
            </w:tcBorders>
            <w:vAlign w:val="center"/>
          </w:tcPr>
          <w:p w14:paraId="7E21EFB8">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增值税税率</w:t>
            </w:r>
          </w:p>
        </w:tc>
        <w:tc>
          <w:tcPr>
            <w:tcW w:w="2269" w:type="dxa"/>
            <w:tcBorders>
              <w:top w:val="single" w:color="000000" w:sz="4" w:space="0"/>
              <w:left w:val="single" w:color="000000" w:sz="4" w:space="0"/>
              <w:bottom w:val="single" w:color="000000" w:sz="4" w:space="0"/>
              <w:right w:val="single" w:color="000000" w:sz="4" w:space="0"/>
            </w:tcBorders>
            <w:vAlign w:val="center"/>
          </w:tcPr>
          <w:p w14:paraId="76F6575B">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63824574">
            <w:pPr>
              <w:jc w:val="center"/>
              <w:rPr>
                <w:rFonts w:hint="eastAsia" w:ascii="宋体" w:hAnsi="宋体" w:cs="宋体"/>
                <w:color w:val="auto"/>
                <w:sz w:val="24"/>
              </w:rPr>
            </w:pPr>
          </w:p>
        </w:tc>
      </w:tr>
      <w:tr w14:paraId="242CBB6C">
        <w:tblPrEx>
          <w:tblCellMar>
            <w:top w:w="0" w:type="dxa"/>
            <w:left w:w="108" w:type="dxa"/>
            <w:bottom w:w="0" w:type="dxa"/>
            <w:right w:w="108" w:type="dxa"/>
          </w:tblCellMar>
        </w:tblPrEx>
        <w:trPr>
          <w:trHeight w:val="360" w:hRule="atLeast"/>
        </w:trPr>
        <w:tc>
          <w:tcPr>
            <w:tcW w:w="7275" w:type="dxa"/>
            <w:gridSpan w:val="9"/>
            <w:tcBorders>
              <w:top w:val="single" w:color="000000" w:sz="4" w:space="0"/>
              <w:left w:val="single" w:color="000000" w:sz="4" w:space="0"/>
              <w:bottom w:val="single" w:color="000000" w:sz="4" w:space="0"/>
              <w:right w:val="single" w:color="000000" w:sz="4" w:space="0"/>
            </w:tcBorders>
            <w:vAlign w:val="center"/>
          </w:tcPr>
          <w:p w14:paraId="3C767BDB">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税费（元）</w:t>
            </w:r>
          </w:p>
        </w:tc>
        <w:tc>
          <w:tcPr>
            <w:tcW w:w="2269" w:type="dxa"/>
            <w:tcBorders>
              <w:top w:val="single" w:color="000000" w:sz="4" w:space="0"/>
              <w:left w:val="single" w:color="000000" w:sz="4" w:space="0"/>
              <w:bottom w:val="single" w:color="000000" w:sz="4" w:space="0"/>
              <w:right w:val="single" w:color="000000" w:sz="4" w:space="0"/>
            </w:tcBorders>
            <w:vAlign w:val="center"/>
          </w:tcPr>
          <w:p w14:paraId="287A4844">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76332C05">
            <w:pPr>
              <w:jc w:val="center"/>
              <w:rPr>
                <w:rFonts w:hint="eastAsia" w:ascii="宋体" w:hAnsi="宋体" w:cs="宋体"/>
                <w:color w:val="auto"/>
                <w:sz w:val="24"/>
              </w:rPr>
            </w:pPr>
          </w:p>
        </w:tc>
      </w:tr>
      <w:tr w14:paraId="71E56707">
        <w:tblPrEx>
          <w:tblCellMar>
            <w:top w:w="0" w:type="dxa"/>
            <w:left w:w="108" w:type="dxa"/>
            <w:bottom w:w="0" w:type="dxa"/>
            <w:right w:w="108" w:type="dxa"/>
          </w:tblCellMar>
        </w:tblPrEx>
        <w:trPr>
          <w:trHeight w:val="360" w:hRule="atLeast"/>
        </w:trPr>
        <w:tc>
          <w:tcPr>
            <w:tcW w:w="7275" w:type="dxa"/>
            <w:gridSpan w:val="9"/>
            <w:tcBorders>
              <w:top w:val="single" w:color="000000" w:sz="4" w:space="0"/>
              <w:left w:val="single" w:color="000000" w:sz="4" w:space="0"/>
              <w:bottom w:val="single" w:color="000000" w:sz="4" w:space="0"/>
              <w:right w:val="single" w:color="000000" w:sz="4" w:space="0"/>
            </w:tcBorders>
            <w:vAlign w:val="center"/>
          </w:tcPr>
          <w:p w14:paraId="631EDE99">
            <w:pPr>
              <w:widowControl/>
              <w:jc w:val="right"/>
              <w:textAlignment w:val="center"/>
              <w:rPr>
                <w:rFonts w:hint="eastAsia" w:ascii="宋体" w:hAnsi="宋体" w:cs="宋体"/>
                <w:color w:val="auto"/>
                <w:sz w:val="24"/>
              </w:rPr>
            </w:pPr>
            <w:r>
              <w:rPr>
                <w:rFonts w:hint="eastAsia" w:ascii="宋体" w:hAnsi="宋体" w:cs="宋体"/>
                <w:color w:val="auto"/>
                <w:kern w:val="0"/>
                <w:sz w:val="24"/>
                <w:lang w:bidi="ar"/>
              </w:rPr>
              <w:t>不含税总价（元）</w:t>
            </w:r>
          </w:p>
        </w:tc>
        <w:tc>
          <w:tcPr>
            <w:tcW w:w="2269" w:type="dxa"/>
            <w:tcBorders>
              <w:top w:val="single" w:color="000000" w:sz="4" w:space="0"/>
              <w:left w:val="single" w:color="000000" w:sz="4" w:space="0"/>
              <w:bottom w:val="single" w:color="000000" w:sz="4" w:space="0"/>
              <w:right w:val="single" w:color="000000" w:sz="4" w:space="0"/>
            </w:tcBorders>
            <w:vAlign w:val="center"/>
          </w:tcPr>
          <w:p w14:paraId="324E6E8C">
            <w:pPr>
              <w:widowControl/>
              <w:jc w:val="center"/>
              <w:textAlignment w:val="center"/>
              <w:rPr>
                <w:rFonts w:hint="eastAsia" w:ascii="宋体" w:hAnsi="宋体" w:cs="宋体"/>
                <w:color w:val="auto"/>
                <w:sz w:val="24"/>
              </w:rPr>
            </w:pPr>
            <w:r>
              <w:rPr>
                <w:rFonts w:hint="eastAsia" w:ascii="宋体" w:hAnsi="宋体" w:cs="宋体"/>
                <w:color w:val="auto"/>
                <w:kern w:val="0"/>
                <w:sz w:val="24"/>
                <w:lang w:bidi="ar"/>
              </w:rPr>
              <w:t xml:space="preserve"> </w:t>
            </w:r>
          </w:p>
        </w:tc>
        <w:tc>
          <w:tcPr>
            <w:tcW w:w="543" w:type="dxa"/>
            <w:tcBorders>
              <w:top w:val="single" w:color="000000" w:sz="4" w:space="0"/>
              <w:left w:val="single" w:color="000000" w:sz="4" w:space="0"/>
              <w:bottom w:val="single" w:color="000000" w:sz="4" w:space="0"/>
              <w:right w:val="single" w:color="000000" w:sz="4" w:space="0"/>
            </w:tcBorders>
            <w:noWrap/>
            <w:vAlign w:val="center"/>
          </w:tcPr>
          <w:p w14:paraId="05F3B7F8">
            <w:pPr>
              <w:jc w:val="center"/>
              <w:rPr>
                <w:rFonts w:hint="eastAsia" w:ascii="宋体" w:hAnsi="宋体" w:cs="宋体"/>
                <w:color w:val="auto"/>
                <w:sz w:val="24"/>
              </w:rPr>
            </w:pPr>
          </w:p>
        </w:tc>
      </w:tr>
      <w:tr w14:paraId="274EB67B">
        <w:tblPrEx>
          <w:tblCellMar>
            <w:top w:w="0" w:type="dxa"/>
            <w:left w:w="108" w:type="dxa"/>
            <w:bottom w:w="0" w:type="dxa"/>
            <w:right w:w="108" w:type="dxa"/>
          </w:tblCellMar>
        </w:tblPrEx>
        <w:trPr>
          <w:trHeight w:val="360" w:hRule="atLeast"/>
        </w:trPr>
        <w:tc>
          <w:tcPr>
            <w:tcW w:w="10087" w:type="dxa"/>
            <w:gridSpan w:val="11"/>
            <w:tcBorders>
              <w:top w:val="single" w:color="000000" w:sz="4" w:space="0"/>
              <w:left w:val="single" w:color="000000" w:sz="4" w:space="0"/>
              <w:bottom w:val="nil"/>
              <w:right w:val="single" w:color="000000" w:sz="4" w:space="0"/>
            </w:tcBorders>
          </w:tcPr>
          <w:p w14:paraId="08AE71C1">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备注：</w:t>
            </w:r>
          </w:p>
        </w:tc>
      </w:tr>
      <w:tr w14:paraId="5BFD2400">
        <w:tblPrEx>
          <w:tblCellMar>
            <w:top w:w="0" w:type="dxa"/>
            <w:left w:w="108" w:type="dxa"/>
            <w:bottom w:w="0" w:type="dxa"/>
            <w:right w:w="108" w:type="dxa"/>
          </w:tblCellMar>
        </w:tblPrEx>
        <w:trPr>
          <w:trHeight w:val="360" w:hRule="atLeast"/>
        </w:trPr>
        <w:tc>
          <w:tcPr>
            <w:tcW w:w="10087" w:type="dxa"/>
            <w:gridSpan w:val="11"/>
            <w:tcBorders>
              <w:top w:val="nil"/>
              <w:left w:val="single" w:color="000000" w:sz="4" w:space="0"/>
              <w:bottom w:val="nil"/>
              <w:right w:val="single" w:color="000000" w:sz="4" w:space="0"/>
            </w:tcBorders>
          </w:tcPr>
          <w:p w14:paraId="11BB5D76">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1、以上单价均为含税单价</w:t>
            </w:r>
          </w:p>
        </w:tc>
      </w:tr>
      <w:tr w14:paraId="504F03AF">
        <w:tblPrEx>
          <w:tblCellMar>
            <w:top w:w="0" w:type="dxa"/>
            <w:left w:w="108" w:type="dxa"/>
            <w:bottom w:w="0" w:type="dxa"/>
            <w:right w:w="108" w:type="dxa"/>
          </w:tblCellMar>
        </w:tblPrEx>
        <w:trPr>
          <w:trHeight w:val="435" w:hRule="atLeast"/>
        </w:trPr>
        <w:tc>
          <w:tcPr>
            <w:tcW w:w="10087" w:type="dxa"/>
            <w:gridSpan w:val="11"/>
            <w:tcBorders>
              <w:top w:val="nil"/>
              <w:left w:val="single" w:color="000000" w:sz="4" w:space="0"/>
              <w:bottom w:val="nil"/>
              <w:right w:val="single" w:color="000000" w:sz="4" w:space="0"/>
            </w:tcBorders>
          </w:tcPr>
          <w:p w14:paraId="195AED51">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 xml:space="preserve">2、以上家具配套同等价位多款可选、颜色2-3种。      </w:t>
            </w:r>
          </w:p>
        </w:tc>
      </w:tr>
      <w:tr w14:paraId="63E2A761">
        <w:tblPrEx>
          <w:tblCellMar>
            <w:top w:w="0" w:type="dxa"/>
            <w:left w:w="108" w:type="dxa"/>
            <w:bottom w:w="0" w:type="dxa"/>
            <w:right w:w="108" w:type="dxa"/>
          </w:tblCellMar>
        </w:tblPrEx>
        <w:trPr>
          <w:trHeight w:val="420" w:hRule="atLeast"/>
        </w:trPr>
        <w:tc>
          <w:tcPr>
            <w:tcW w:w="10087" w:type="dxa"/>
            <w:gridSpan w:val="11"/>
            <w:tcBorders>
              <w:top w:val="nil"/>
              <w:left w:val="single" w:color="000000" w:sz="4" w:space="0"/>
              <w:bottom w:val="single" w:color="000000" w:sz="4" w:space="0"/>
              <w:right w:val="single" w:color="000000" w:sz="4" w:space="0"/>
            </w:tcBorders>
          </w:tcPr>
          <w:p w14:paraId="024D2074">
            <w:pPr>
              <w:widowControl/>
              <w:jc w:val="left"/>
              <w:textAlignment w:val="top"/>
              <w:rPr>
                <w:rFonts w:hint="eastAsia" w:ascii="宋体" w:hAnsi="宋体" w:cs="宋体"/>
                <w:color w:val="auto"/>
                <w:sz w:val="24"/>
              </w:rPr>
            </w:pPr>
            <w:r>
              <w:rPr>
                <w:rFonts w:hint="eastAsia" w:ascii="宋体" w:hAnsi="宋体" w:cs="宋体"/>
                <w:color w:val="auto"/>
                <w:kern w:val="0"/>
                <w:sz w:val="24"/>
                <w:lang w:bidi="ar"/>
              </w:rPr>
              <w:t>3、上述报价为单套费用报价，此次同供应商签订合同为单价框架合同，包含20套家装套装，具体根据我司政策安排及营销实际需求灵活调整，据实结算。</w:t>
            </w:r>
          </w:p>
        </w:tc>
      </w:tr>
    </w:tbl>
    <w:p w14:paraId="093C18A6">
      <w:pPr>
        <w:pStyle w:val="2"/>
        <w:rPr>
          <w:color w:val="auto"/>
        </w:rPr>
      </w:pPr>
    </w:p>
    <w:p w14:paraId="618A4BB4">
      <w:pPr>
        <w:rPr>
          <w:rFonts w:ascii="Times New Roman" w:hAnsi="Times New Roman"/>
          <w:color w:val="auto"/>
        </w:rPr>
      </w:pPr>
    </w:p>
    <w:p w14:paraId="11872976">
      <w:pPr>
        <w:rPr>
          <w:rFonts w:ascii="Times New Roman" w:hAnsi="Times New Roman"/>
          <w:color w:val="auto"/>
        </w:rPr>
        <w:sectPr>
          <w:headerReference r:id="rId9" w:type="default"/>
          <w:footerReference r:id="rId10" w:type="default"/>
          <w:footnotePr>
            <w:numFmt w:val="decimalEnclosedCircleChinese"/>
          </w:footnotePr>
          <w:pgSz w:w="11906" w:h="16838"/>
          <w:pgMar w:top="1440" w:right="1709" w:bottom="1440" w:left="1797" w:header="851" w:footer="992" w:gutter="0"/>
          <w:cols w:space="720" w:num="1"/>
          <w:docGrid w:type="linesAndChars" w:linePitch="312" w:charSpace="0"/>
        </w:sectPr>
      </w:pPr>
    </w:p>
    <w:tbl>
      <w:tblPr>
        <w:tblStyle w:val="21"/>
        <w:tblpPr w:leftFromText="180" w:rightFromText="180" w:vertAnchor="text" w:horzAnchor="page" w:tblpX="1779" w:tblpY="744"/>
        <w:tblOverlap w:val="never"/>
        <w:tblW w:w="8886"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704"/>
        <w:gridCol w:w="1835"/>
        <w:gridCol w:w="1162"/>
        <w:gridCol w:w="3694"/>
        <w:gridCol w:w="1491"/>
      </w:tblGrid>
      <w:tr w14:paraId="289E4F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094E4B05">
            <w:pPr>
              <w:pStyle w:val="2"/>
              <w:spacing w:after="0" w:line="400" w:lineRule="exact"/>
              <w:jc w:val="center"/>
              <w:rPr>
                <w:rFonts w:hint="eastAsia" w:ascii="宋体" w:hAnsi="宋体" w:cs="宋体"/>
                <w:b/>
                <w:bCs/>
                <w:color w:val="auto"/>
                <w:sz w:val="24"/>
              </w:rPr>
            </w:pPr>
            <w:r>
              <w:rPr>
                <w:rFonts w:hint="eastAsia" w:ascii="宋体" w:hAnsi="宋体" w:cs="宋体"/>
                <w:b/>
                <w:bCs/>
                <w:color w:val="auto"/>
                <w:sz w:val="24"/>
              </w:rPr>
              <w:t>序号</w:t>
            </w:r>
          </w:p>
        </w:tc>
        <w:tc>
          <w:tcPr>
            <w:tcW w:w="1835" w:type="dxa"/>
            <w:vAlign w:val="center"/>
          </w:tcPr>
          <w:p w14:paraId="1BA0A64E">
            <w:pPr>
              <w:pStyle w:val="2"/>
              <w:spacing w:after="0" w:line="400" w:lineRule="exact"/>
              <w:jc w:val="center"/>
              <w:rPr>
                <w:rFonts w:hint="eastAsia" w:ascii="宋体" w:hAnsi="宋体" w:cs="宋体"/>
                <w:b/>
                <w:bCs/>
                <w:color w:val="auto"/>
                <w:sz w:val="24"/>
              </w:rPr>
            </w:pPr>
            <w:r>
              <w:rPr>
                <w:rFonts w:hint="eastAsia" w:ascii="宋体" w:hAnsi="宋体" w:cs="宋体"/>
                <w:b/>
                <w:bCs/>
                <w:color w:val="auto"/>
                <w:kern w:val="0"/>
                <w:sz w:val="24"/>
                <w:lang w:bidi="ar"/>
              </w:rPr>
              <w:t>名称</w:t>
            </w:r>
          </w:p>
        </w:tc>
        <w:tc>
          <w:tcPr>
            <w:tcW w:w="1162" w:type="dxa"/>
            <w:vAlign w:val="center"/>
          </w:tcPr>
          <w:p w14:paraId="7D18CD9B">
            <w:pPr>
              <w:pStyle w:val="2"/>
              <w:spacing w:after="0" w:line="400" w:lineRule="exact"/>
              <w:jc w:val="center"/>
              <w:rPr>
                <w:rFonts w:hint="eastAsia" w:ascii="宋体" w:hAnsi="宋体" w:cs="宋体"/>
                <w:b/>
                <w:bCs/>
                <w:color w:val="auto"/>
                <w:sz w:val="24"/>
              </w:rPr>
            </w:pPr>
            <w:r>
              <w:rPr>
                <w:rFonts w:hint="eastAsia" w:ascii="宋体" w:hAnsi="宋体" w:cs="宋体"/>
                <w:b/>
                <w:bCs/>
                <w:color w:val="auto"/>
                <w:sz w:val="24"/>
              </w:rPr>
              <w:t>数量</w:t>
            </w:r>
          </w:p>
        </w:tc>
        <w:tc>
          <w:tcPr>
            <w:tcW w:w="3694" w:type="dxa"/>
            <w:vAlign w:val="center"/>
          </w:tcPr>
          <w:p w14:paraId="3B94BA41">
            <w:pPr>
              <w:pStyle w:val="2"/>
              <w:spacing w:after="0" w:line="400" w:lineRule="exact"/>
              <w:jc w:val="center"/>
              <w:rPr>
                <w:rFonts w:hint="eastAsia" w:ascii="宋体" w:hAnsi="宋体" w:cs="宋体"/>
                <w:b/>
                <w:bCs/>
                <w:color w:val="auto"/>
                <w:sz w:val="24"/>
              </w:rPr>
            </w:pPr>
            <w:r>
              <w:rPr>
                <w:rFonts w:hint="eastAsia" w:ascii="宋体" w:hAnsi="宋体" w:cs="宋体"/>
                <w:b/>
                <w:bCs/>
                <w:color w:val="auto"/>
                <w:sz w:val="24"/>
              </w:rPr>
              <w:t>是否达到验收标准（包括家私质量、安装情况等）</w:t>
            </w:r>
          </w:p>
        </w:tc>
        <w:tc>
          <w:tcPr>
            <w:tcW w:w="1491" w:type="dxa"/>
            <w:vAlign w:val="center"/>
          </w:tcPr>
          <w:p w14:paraId="53BA2EB2">
            <w:pPr>
              <w:pStyle w:val="2"/>
              <w:spacing w:after="0" w:line="400" w:lineRule="exact"/>
              <w:jc w:val="center"/>
              <w:rPr>
                <w:rFonts w:hint="eastAsia" w:ascii="宋体" w:hAnsi="宋体" w:cs="宋体"/>
                <w:b/>
                <w:bCs/>
                <w:color w:val="auto"/>
                <w:sz w:val="24"/>
              </w:rPr>
            </w:pPr>
            <w:r>
              <w:rPr>
                <w:rFonts w:hint="eastAsia" w:ascii="宋体" w:hAnsi="宋体" w:cs="宋体"/>
                <w:b/>
                <w:bCs/>
                <w:color w:val="auto"/>
                <w:sz w:val="24"/>
              </w:rPr>
              <w:t>备注</w:t>
            </w:r>
          </w:p>
        </w:tc>
      </w:tr>
      <w:tr w14:paraId="7F49A8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5C66B14C">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1835" w:type="dxa"/>
            <w:vAlign w:val="center"/>
          </w:tcPr>
          <w:p w14:paraId="6AAC990F">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2.4米高定制柜</w:t>
            </w:r>
          </w:p>
        </w:tc>
        <w:tc>
          <w:tcPr>
            <w:tcW w:w="1162" w:type="dxa"/>
            <w:vAlign w:val="center"/>
          </w:tcPr>
          <w:p w14:paraId="7A78B63A">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03F3D0DA">
            <w:pPr>
              <w:pStyle w:val="2"/>
              <w:spacing w:after="0" w:line="400" w:lineRule="exact"/>
              <w:jc w:val="center"/>
              <w:rPr>
                <w:rFonts w:hint="eastAsia" w:ascii="宋体" w:hAnsi="宋体" w:cs="宋体"/>
                <w:color w:val="auto"/>
                <w:sz w:val="24"/>
              </w:rPr>
            </w:pPr>
          </w:p>
        </w:tc>
        <w:tc>
          <w:tcPr>
            <w:tcW w:w="1491" w:type="dxa"/>
            <w:vAlign w:val="center"/>
          </w:tcPr>
          <w:p w14:paraId="3B9FDF63">
            <w:pPr>
              <w:pStyle w:val="2"/>
              <w:spacing w:after="0" w:line="400" w:lineRule="exact"/>
              <w:jc w:val="center"/>
              <w:rPr>
                <w:rFonts w:hint="eastAsia" w:ascii="宋体" w:hAnsi="宋体" w:cs="宋体"/>
                <w:color w:val="auto"/>
                <w:sz w:val="24"/>
              </w:rPr>
            </w:pPr>
          </w:p>
        </w:tc>
      </w:tr>
      <w:tr w14:paraId="30D8E0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47D38C3A">
            <w:pPr>
              <w:pStyle w:val="2"/>
              <w:spacing w:after="0" w:line="400" w:lineRule="exact"/>
              <w:jc w:val="center"/>
              <w:rPr>
                <w:rFonts w:hint="eastAsia" w:ascii="宋体" w:hAnsi="宋体" w:cs="宋体"/>
                <w:color w:val="auto"/>
                <w:sz w:val="24"/>
              </w:rPr>
            </w:pPr>
            <w:r>
              <w:rPr>
                <w:rFonts w:hint="eastAsia" w:ascii="宋体" w:hAnsi="宋体" w:cs="宋体"/>
                <w:color w:val="auto"/>
                <w:sz w:val="24"/>
              </w:rPr>
              <w:t>2</w:t>
            </w:r>
          </w:p>
        </w:tc>
        <w:tc>
          <w:tcPr>
            <w:tcW w:w="1835" w:type="dxa"/>
            <w:vAlign w:val="center"/>
          </w:tcPr>
          <w:p w14:paraId="19B75BAC">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沙发</w:t>
            </w:r>
          </w:p>
        </w:tc>
        <w:tc>
          <w:tcPr>
            <w:tcW w:w="1162" w:type="dxa"/>
            <w:vAlign w:val="center"/>
          </w:tcPr>
          <w:p w14:paraId="2A449DB8">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25635338">
            <w:pPr>
              <w:pStyle w:val="2"/>
              <w:spacing w:after="0" w:line="400" w:lineRule="exact"/>
              <w:jc w:val="center"/>
              <w:rPr>
                <w:rFonts w:hint="eastAsia" w:ascii="宋体" w:hAnsi="宋体" w:cs="宋体"/>
                <w:color w:val="auto"/>
                <w:sz w:val="24"/>
              </w:rPr>
            </w:pPr>
          </w:p>
        </w:tc>
        <w:tc>
          <w:tcPr>
            <w:tcW w:w="1491" w:type="dxa"/>
            <w:vAlign w:val="center"/>
          </w:tcPr>
          <w:p w14:paraId="6E7C47BC">
            <w:pPr>
              <w:pStyle w:val="2"/>
              <w:spacing w:after="0" w:line="400" w:lineRule="exact"/>
              <w:jc w:val="center"/>
              <w:rPr>
                <w:rFonts w:hint="eastAsia" w:ascii="宋体" w:hAnsi="宋体" w:cs="宋体"/>
                <w:color w:val="auto"/>
                <w:sz w:val="24"/>
              </w:rPr>
            </w:pPr>
          </w:p>
        </w:tc>
      </w:tr>
      <w:tr w14:paraId="7933C7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0B2C22D3">
            <w:pPr>
              <w:pStyle w:val="2"/>
              <w:spacing w:after="0" w:line="400" w:lineRule="exact"/>
              <w:jc w:val="center"/>
              <w:rPr>
                <w:rFonts w:hint="eastAsia" w:ascii="宋体" w:hAnsi="宋体" w:cs="宋体"/>
                <w:color w:val="auto"/>
                <w:sz w:val="24"/>
              </w:rPr>
            </w:pPr>
            <w:r>
              <w:rPr>
                <w:rFonts w:hint="eastAsia" w:ascii="宋体" w:hAnsi="宋体" w:cs="宋体"/>
                <w:color w:val="auto"/>
                <w:sz w:val="24"/>
              </w:rPr>
              <w:t>3</w:t>
            </w:r>
          </w:p>
        </w:tc>
        <w:tc>
          <w:tcPr>
            <w:tcW w:w="1835" w:type="dxa"/>
            <w:vAlign w:val="center"/>
          </w:tcPr>
          <w:p w14:paraId="3740ADB4">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茶几</w:t>
            </w:r>
          </w:p>
        </w:tc>
        <w:tc>
          <w:tcPr>
            <w:tcW w:w="1162" w:type="dxa"/>
            <w:vAlign w:val="center"/>
          </w:tcPr>
          <w:p w14:paraId="47549CF2">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1415BF7E">
            <w:pPr>
              <w:pStyle w:val="2"/>
              <w:spacing w:after="0" w:line="400" w:lineRule="exact"/>
              <w:jc w:val="center"/>
              <w:rPr>
                <w:rFonts w:hint="eastAsia" w:ascii="宋体" w:hAnsi="宋体" w:cs="宋体"/>
                <w:color w:val="auto"/>
                <w:sz w:val="24"/>
              </w:rPr>
            </w:pPr>
          </w:p>
        </w:tc>
        <w:tc>
          <w:tcPr>
            <w:tcW w:w="1491" w:type="dxa"/>
            <w:vAlign w:val="center"/>
          </w:tcPr>
          <w:p w14:paraId="215FF481">
            <w:pPr>
              <w:pStyle w:val="2"/>
              <w:spacing w:after="0" w:line="400" w:lineRule="exact"/>
              <w:jc w:val="center"/>
              <w:rPr>
                <w:rFonts w:hint="eastAsia" w:ascii="宋体" w:hAnsi="宋体" w:cs="宋体"/>
                <w:color w:val="auto"/>
                <w:sz w:val="24"/>
              </w:rPr>
            </w:pPr>
          </w:p>
        </w:tc>
      </w:tr>
      <w:tr w14:paraId="4E892F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52750897">
            <w:pPr>
              <w:pStyle w:val="2"/>
              <w:spacing w:after="0" w:line="400" w:lineRule="exact"/>
              <w:jc w:val="center"/>
              <w:rPr>
                <w:rFonts w:hint="eastAsia" w:ascii="宋体" w:hAnsi="宋体" w:cs="宋体"/>
                <w:color w:val="auto"/>
                <w:sz w:val="24"/>
              </w:rPr>
            </w:pPr>
            <w:r>
              <w:rPr>
                <w:rFonts w:hint="eastAsia" w:ascii="宋体" w:hAnsi="宋体" w:cs="宋体"/>
                <w:color w:val="auto"/>
                <w:sz w:val="24"/>
              </w:rPr>
              <w:t>4</w:t>
            </w:r>
          </w:p>
        </w:tc>
        <w:tc>
          <w:tcPr>
            <w:tcW w:w="1835" w:type="dxa"/>
            <w:vAlign w:val="center"/>
          </w:tcPr>
          <w:p w14:paraId="6ED76AC9">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餐桌</w:t>
            </w:r>
          </w:p>
        </w:tc>
        <w:tc>
          <w:tcPr>
            <w:tcW w:w="1162" w:type="dxa"/>
            <w:vAlign w:val="center"/>
          </w:tcPr>
          <w:p w14:paraId="59288A5E">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035120FA">
            <w:pPr>
              <w:pStyle w:val="2"/>
              <w:spacing w:after="0" w:line="400" w:lineRule="exact"/>
              <w:jc w:val="center"/>
              <w:rPr>
                <w:rFonts w:hint="eastAsia" w:ascii="宋体" w:hAnsi="宋体" w:cs="宋体"/>
                <w:color w:val="auto"/>
                <w:sz w:val="24"/>
              </w:rPr>
            </w:pPr>
          </w:p>
        </w:tc>
        <w:tc>
          <w:tcPr>
            <w:tcW w:w="1491" w:type="dxa"/>
            <w:vAlign w:val="center"/>
          </w:tcPr>
          <w:p w14:paraId="5A6ACEB7">
            <w:pPr>
              <w:pStyle w:val="2"/>
              <w:spacing w:after="0" w:line="400" w:lineRule="exact"/>
              <w:jc w:val="center"/>
              <w:rPr>
                <w:rFonts w:hint="eastAsia" w:ascii="宋体" w:hAnsi="宋体" w:cs="宋体"/>
                <w:color w:val="auto"/>
                <w:sz w:val="24"/>
              </w:rPr>
            </w:pPr>
          </w:p>
        </w:tc>
      </w:tr>
      <w:tr w14:paraId="30F7F0D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7FF5FD18">
            <w:pPr>
              <w:pStyle w:val="2"/>
              <w:spacing w:after="0" w:line="400" w:lineRule="exact"/>
              <w:jc w:val="center"/>
              <w:rPr>
                <w:rFonts w:hint="eastAsia" w:ascii="宋体" w:hAnsi="宋体" w:cs="宋体"/>
                <w:color w:val="auto"/>
                <w:sz w:val="24"/>
              </w:rPr>
            </w:pPr>
            <w:r>
              <w:rPr>
                <w:rFonts w:hint="eastAsia" w:ascii="宋体" w:hAnsi="宋体" w:cs="宋体"/>
                <w:color w:val="auto"/>
                <w:sz w:val="24"/>
              </w:rPr>
              <w:t>5</w:t>
            </w:r>
          </w:p>
        </w:tc>
        <w:tc>
          <w:tcPr>
            <w:tcW w:w="1835" w:type="dxa"/>
            <w:vAlign w:val="center"/>
          </w:tcPr>
          <w:p w14:paraId="1AFB8359">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餐椅</w:t>
            </w:r>
          </w:p>
        </w:tc>
        <w:tc>
          <w:tcPr>
            <w:tcW w:w="1162" w:type="dxa"/>
            <w:vAlign w:val="center"/>
          </w:tcPr>
          <w:p w14:paraId="3DEAAA19">
            <w:pPr>
              <w:pStyle w:val="2"/>
              <w:spacing w:after="0" w:line="400" w:lineRule="exact"/>
              <w:jc w:val="center"/>
              <w:rPr>
                <w:rFonts w:hint="eastAsia" w:ascii="宋体" w:hAnsi="宋体" w:cs="宋体"/>
                <w:color w:val="auto"/>
                <w:sz w:val="24"/>
              </w:rPr>
            </w:pPr>
            <w:r>
              <w:rPr>
                <w:rFonts w:hint="eastAsia" w:ascii="宋体" w:hAnsi="宋体" w:cs="宋体"/>
                <w:color w:val="auto"/>
                <w:sz w:val="24"/>
              </w:rPr>
              <w:t>4</w:t>
            </w:r>
          </w:p>
        </w:tc>
        <w:tc>
          <w:tcPr>
            <w:tcW w:w="3694" w:type="dxa"/>
            <w:vAlign w:val="center"/>
          </w:tcPr>
          <w:p w14:paraId="6E8C66D5">
            <w:pPr>
              <w:pStyle w:val="2"/>
              <w:spacing w:after="0" w:line="400" w:lineRule="exact"/>
              <w:jc w:val="center"/>
              <w:rPr>
                <w:rFonts w:hint="eastAsia" w:ascii="宋体" w:hAnsi="宋体" w:cs="宋体"/>
                <w:color w:val="auto"/>
                <w:sz w:val="24"/>
              </w:rPr>
            </w:pPr>
          </w:p>
        </w:tc>
        <w:tc>
          <w:tcPr>
            <w:tcW w:w="1491" w:type="dxa"/>
            <w:vAlign w:val="center"/>
          </w:tcPr>
          <w:p w14:paraId="1B51ECD9">
            <w:pPr>
              <w:pStyle w:val="2"/>
              <w:spacing w:after="0" w:line="400" w:lineRule="exact"/>
              <w:jc w:val="center"/>
              <w:rPr>
                <w:rFonts w:hint="eastAsia" w:ascii="宋体" w:hAnsi="宋体" w:cs="宋体"/>
                <w:color w:val="auto"/>
                <w:sz w:val="24"/>
              </w:rPr>
            </w:pPr>
          </w:p>
        </w:tc>
      </w:tr>
      <w:tr w14:paraId="2DDD6CB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32E01252">
            <w:pPr>
              <w:pStyle w:val="2"/>
              <w:spacing w:after="0" w:line="400" w:lineRule="exact"/>
              <w:jc w:val="center"/>
              <w:rPr>
                <w:rFonts w:hint="eastAsia" w:ascii="宋体" w:hAnsi="宋体" w:cs="宋体"/>
                <w:color w:val="auto"/>
                <w:sz w:val="24"/>
              </w:rPr>
            </w:pPr>
            <w:r>
              <w:rPr>
                <w:rFonts w:hint="eastAsia" w:ascii="宋体" w:hAnsi="宋体" w:cs="宋体"/>
                <w:color w:val="auto"/>
                <w:sz w:val="24"/>
              </w:rPr>
              <w:t>6</w:t>
            </w:r>
          </w:p>
        </w:tc>
        <w:tc>
          <w:tcPr>
            <w:tcW w:w="1835" w:type="dxa"/>
            <w:vAlign w:val="center"/>
          </w:tcPr>
          <w:p w14:paraId="592BAAEE">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主卧床</w:t>
            </w:r>
          </w:p>
        </w:tc>
        <w:tc>
          <w:tcPr>
            <w:tcW w:w="1162" w:type="dxa"/>
            <w:vAlign w:val="center"/>
          </w:tcPr>
          <w:p w14:paraId="7B494FD0">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4687D938">
            <w:pPr>
              <w:pStyle w:val="2"/>
              <w:spacing w:after="0" w:line="400" w:lineRule="exact"/>
              <w:jc w:val="center"/>
              <w:rPr>
                <w:rFonts w:hint="eastAsia" w:ascii="宋体" w:hAnsi="宋体" w:cs="宋体"/>
                <w:color w:val="auto"/>
                <w:sz w:val="24"/>
              </w:rPr>
            </w:pPr>
          </w:p>
        </w:tc>
        <w:tc>
          <w:tcPr>
            <w:tcW w:w="1491" w:type="dxa"/>
            <w:vAlign w:val="center"/>
          </w:tcPr>
          <w:p w14:paraId="64A52085">
            <w:pPr>
              <w:pStyle w:val="2"/>
              <w:spacing w:after="0" w:line="400" w:lineRule="exact"/>
              <w:jc w:val="center"/>
              <w:rPr>
                <w:rFonts w:hint="eastAsia" w:ascii="宋体" w:hAnsi="宋体" w:cs="宋体"/>
                <w:color w:val="auto"/>
                <w:sz w:val="24"/>
              </w:rPr>
            </w:pPr>
          </w:p>
        </w:tc>
      </w:tr>
      <w:tr w14:paraId="5BCC7D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704" w:type="dxa"/>
            <w:vAlign w:val="center"/>
          </w:tcPr>
          <w:p w14:paraId="22A0F051">
            <w:pPr>
              <w:pStyle w:val="2"/>
              <w:spacing w:after="0" w:line="400" w:lineRule="exact"/>
              <w:jc w:val="center"/>
              <w:rPr>
                <w:rFonts w:hint="eastAsia" w:ascii="宋体" w:hAnsi="宋体" w:cs="宋体"/>
                <w:color w:val="auto"/>
                <w:sz w:val="24"/>
              </w:rPr>
            </w:pPr>
            <w:r>
              <w:rPr>
                <w:rFonts w:hint="eastAsia" w:ascii="宋体" w:hAnsi="宋体" w:cs="宋体"/>
                <w:color w:val="auto"/>
                <w:sz w:val="24"/>
              </w:rPr>
              <w:t>7</w:t>
            </w:r>
          </w:p>
        </w:tc>
        <w:tc>
          <w:tcPr>
            <w:tcW w:w="1835" w:type="dxa"/>
            <w:vAlign w:val="center"/>
          </w:tcPr>
          <w:p w14:paraId="1330179D">
            <w:pPr>
              <w:widowControl/>
              <w:spacing w:line="400" w:lineRule="exact"/>
              <w:jc w:val="center"/>
              <w:textAlignment w:val="center"/>
              <w:rPr>
                <w:rFonts w:hint="eastAsia" w:ascii="宋体" w:hAnsi="宋体" w:cs="宋体"/>
                <w:color w:val="auto"/>
                <w:sz w:val="24"/>
              </w:rPr>
            </w:pPr>
            <w:r>
              <w:rPr>
                <w:rFonts w:hint="eastAsia" w:ascii="宋体" w:hAnsi="宋体" w:cs="宋体"/>
                <w:color w:val="auto"/>
                <w:kern w:val="0"/>
                <w:sz w:val="24"/>
                <w:lang w:bidi="ar"/>
              </w:rPr>
              <w:t>次卧床</w:t>
            </w:r>
          </w:p>
        </w:tc>
        <w:tc>
          <w:tcPr>
            <w:tcW w:w="1162" w:type="dxa"/>
            <w:vAlign w:val="center"/>
          </w:tcPr>
          <w:p w14:paraId="3706A0C0">
            <w:pPr>
              <w:pStyle w:val="2"/>
              <w:spacing w:after="0" w:line="400" w:lineRule="exact"/>
              <w:jc w:val="center"/>
              <w:rPr>
                <w:rFonts w:hint="eastAsia" w:ascii="宋体" w:hAnsi="宋体" w:cs="宋体"/>
                <w:color w:val="auto"/>
                <w:sz w:val="24"/>
              </w:rPr>
            </w:pPr>
            <w:r>
              <w:rPr>
                <w:rFonts w:hint="eastAsia" w:ascii="宋体" w:hAnsi="宋体" w:cs="宋体"/>
                <w:color w:val="auto"/>
                <w:sz w:val="24"/>
              </w:rPr>
              <w:t>1</w:t>
            </w:r>
          </w:p>
        </w:tc>
        <w:tc>
          <w:tcPr>
            <w:tcW w:w="3694" w:type="dxa"/>
            <w:vAlign w:val="center"/>
          </w:tcPr>
          <w:p w14:paraId="1451C0DE">
            <w:pPr>
              <w:pStyle w:val="2"/>
              <w:spacing w:after="0" w:line="400" w:lineRule="exact"/>
              <w:jc w:val="center"/>
              <w:rPr>
                <w:rFonts w:hint="eastAsia" w:ascii="宋体" w:hAnsi="宋体" w:cs="宋体"/>
                <w:color w:val="auto"/>
                <w:sz w:val="24"/>
              </w:rPr>
            </w:pPr>
          </w:p>
        </w:tc>
        <w:tc>
          <w:tcPr>
            <w:tcW w:w="1491" w:type="dxa"/>
            <w:vAlign w:val="center"/>
          </w:tcPr>
          <w:p w14:paraId="1F60B355">
            <w:pPr>
              <w:pStyle w:val="2"/>
              <w:spacing w:after="0" w:line="400" w:lineRule="exact"/>
              <w:jc w:val="center"/>
              <w:rPr>
                <w:rFonts w:hint="eastAsia" w:ascii="宋体" w:hAnsi="宋体" w:cs="宋体"/>
                <w:color w:val="auto"/>
                <w:sz w:val="24"/>
              </w:rPr>
            </w:pPr>
          </w:p>
        </w:tc>
      </w:tr>
      <w:tr w14:paraId="1429A93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7395" w:type="dxa"/>
            <w:gridSpan w:val="4"/>
            <w:vAlign w:val="center"/>
          </w:tcPr>
          <w:p w14:paraId="4EFA44FF">
            <w:pPr>
              <w:pStyle w:val="2"/>
              <w:spacing w:after="0" w:line="400" w:lineRule="exact"/>
              <w:jc w:val="center"/>
              <w:rPr>
                <w:rFonts w:hint="eastAsia" w:ascii="宋体" w:hAnsi="宋体" w:cs="宋体"/>
                <w:color w:val="auto"/>
                <w:sz w:val="24"/>
              </w:rPr>
            </w:pPr>
            <w:r>
              <w:rPr>
                <w:rFonts w:hint="eastAsia" w:ascii="宋体" w:hAnsi="宋体" w:cs="宋体"/>
                <w:b/>
                <w:bCs/>
                <w:color w:val="auto"/>
                <w:sz w:val="24"/>
              </w:rPr>
              <w:t>是否确认验收合格</w:t>
            </w:r>
          </w:p>
        </w:tc>
        <w:tc>
          <w:tcPr>
            <w:tcW w:w="1491" w:type="dxa"/>
            <w:vAlign w:val="center"/>
          </w:tcPr>
          <w:p w14:paraId="7235C73F">
            <w:pPr>
              <w:pStyle w:val="2"/>
              <w:spacing w:after="0" w:line="400" w:lineRule="exact"/>
              <w:jc w:val="center"/>
              <w:rPr>
                <w:rFonts w:hint="eastAsia" w:ascii="宋体" w:hAnsi="宋体" w:cs="宋体"/>
                <w:color w:val="auto"/>
                <w:sz w:val="24"/>
              </w:rPr>
            </w:pPr>
          </w:p>
        </w:tc>
      </w:tr>
      <w:tr w14:paraId="3551D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63" w:hRule="atLeast"/>
        </w:trPr>
        <w:tc>
          <w:tcPr>
            <w:tcW w:w="8886" w:type="dxa"/>
            <w:gridSpan w:val="5"/>
            <w:vAlign w:val="center"/>
          </w:tcPr>
          <w:p w14:paraId="1D4D30B2">
            <w:pPr>
              <w:pStyle w:val="2"/>
              <w:spacing w:after="0" w:line="400" w:lineRule="exact"/>
              <w:jc w:val="left"/>
              <w:rPr>
                <w:rFonts w:hint="eastAsia" w:ascii="宋体" w:hAnsi="宋体" w:cs="宋体"/>
                <w:color w:val="auto"/>
                <w:sz w:val="24"/>
              </w:rPr>
            </w:pPr>
            <w:r>
              <w:rPr>
                <w:rFonts w:hint="eastAsia" w:ascii="Segoe UI" w:hAnsi="Segoe UI" w:cs="Segoe UI"/>
                <w:color w:val="auto"/>
                <w:sz w:val="24"/>
              </w:rPr>
              <w:t>备注：</w:t>
            </w:r>
            <w:r>
              <w:rPr>
                <w:rFonts w:ascii="Segoe UI" w:hAnsi="Segoe UI" w:eastAsia="Segoe UI" w:cs="Segoe UI"/>
                <w:color w:val="auto"/>
                <w:sz w:val="24"/>
              </w:rPr>
              <w:t>验收标准以合同附件3技术规格为准</w:t>
            </w:r>
          </w:p>
        </w:tc>
      </w:tr>
    </w:tbl>
    <w:p w14:paraId="200C56D8">
      <w:pPr>
        <w:pStyle w:val="2"/>
        <w:spacing w:after="0" w:line="400" w:lineRule="exact"/>
        <w:jc w:val="left"/>
        <w:rPr>
          <w:rFonts w:hint="eastAsia" w:ascii="仿宋" w:hAnsi="仿宋" w:eastAsia="仿宋" w:cs="仿宋"/>
          <w:b/>
          <w:color w:val="auto"/>
          <w:sz w:val="28"/>
          <w:szCs w:val="28"/>
        </w:rPr>
      </w:pPr>
      <w:r>
        <w:rPr>
          <w:rFonts w:hint="eastAsia" w:ascii="仿宋" w:hAnsi="仿宋" w:eastAsia="仿宋" w:cs="仿宋"/>
          <w:b/>
          <w:color w:val="auto"/>
          <w:sz w:val="28"/>
          <w:szCs w:val="28"/>
        </w:rPr>
        <w:t>附件</w:t>
      </w:r>
      <w:r>
        <w:rPr>
          <w:rFonts w:ascii="Times New Roman" w:hAnsi="Times New Roman" w:eastAsia="仿宋"/>
          <w:b/>
          <w:color w:val="auto"/>
          <w:sz w:val="28"/>
          <w:szCs w:val="28"/>
        </w:rPr>
        <w:t>4</w:t>
      </w:r>
      <w:r>
        <w:rPr>
          <w:rFonts w:hint="eastAsia" w:ascii="仿宋" w:hAnsi="仿宋" w:eastAsia="仿宋" w:cs="仿宋"/>
          <w:b/>
          <w:color w:val="auto"/>
          <w:sz w:val="28"/>
          <w:szCs w:val="28"/>
        </w:rPr>
        <w:t>：三方验收单</w:t>
      </w:r>
    </w:p>
    <w:p w14:paraId="146C6DB2">
      <w:pPr>
        <w:pStyle w:val="2"/>
        <w:spacing w:after="0" w:line="400" w:lineRule="exact"/>
        <w:rPr>
          <w:rFonts w:ascii="Times New Roman" w:hAnsi="Times New Roman"/>
          <w:color w:val="auto"/>
        </w:rPr>
      </w:pPr>
      <w:r>
        <w:rPr>
          <w:rFonts w:hint="eastAsia" w:ascii="宋体" w:hAnsi="宋体" w:cs="宋体"/>
          <w:color w:val="auto"/>
          <w:sz w:val="24"/>
        </w:rPr>
        <w:t>乙方签字：              甲方签字：              业主签字：</w:t>
      </w:r>
    </w:p>
    <w:p w14:paraId="1EB8F53F">
      <w:pPr>
        <w:tabs>
          <w:tab w:val="left" w:pos="795"/>
        </w:tabs>
        <w:spacing w:line="240" w:lineRule="exact"/>
        <w:jc w:val="right"/>
        <w:rPr>
          <w:color w:val="auto"/>
        </w:rPr>
      </w:pPr>
    </w:p>
    <w:p w14:paraId="38A5327A">
      <w:pPr>
        <w:tabs>
          <w:tab w:val="left" w:pos="795"/>
        </w:tabs>
        <w:spacing w:line="240" w:lineRule="exact"/>
        <w:jc w:val="right"/>
        <w:rPr>
          <w:color w:val="auto"/>
        </w:rPr>
      </w:pPr>
    </w:p>
    <w:p w14:paraId="348E3BD3">
      <w:pPr>
        <w:pStyle w:val="2"/>
        <w:rPr>
          <w:color w:val="auto"/>
        </w:rPr>
      </w:pPr>
    </w:p>
    <w:p w14:paraId="4F99EEC2">
      <w:pPr>
        <w:tabs>
          <w:tab w:val="left" w:pos="795"/>
        </w:tabs>
        <w:spacing w:line="240" w:lineRule="exact"/>
        <w:jc w:val="right"/>
        <w:rPr>
          <w:color w:val="auto"/>
        </w:rPr>
        <w:sectPr>
          <w:footnotePr>
            <w:numFmt w:val="decimalEnclosedCircleChinese"/>
          </w:footnotePr>
          <w:pgSz w:w="11906" w:h="16838"/>
          <w:pgMar w:top="1440" w:right="1709" w:bottom="1440" w:left="1797" w:header="851" w:footer="992" w:gutter="0"/>
          <w:cols w:space="720" w:num="1"/>
          <w:docGrid w:type="linesAndChars" w:linePitch="312" w:charSpace="0"/>
        </w:sectPr>
      </w:pPr>
      <w:r>
        <w:rPr>
          <w:rFonts w:hint="eastAsia"/>
          <w:color w:val="auto"/>
        </w:rPr>
        <w:tab/>
      </w:r>
      <w:r>
        <w:rPr>
          <w:rFonts w:hint="eastAsia"/>
          <w:color w:val="auto"/>
          <w:sz w:val="24"/>
        </w:rPr>
        <w:t>验收日期：    年  月  日</w:t>
      </w:r>
    </w:p>
    <w:p w14:paraId="5F6971E6">
      <w:pPr>
        <w:pStyle w:val="3"/>
        <w:numPr>
          <w:ilvl w:val="0"/>
          <w:numId w:val="8"/>
        </w:numPr>
        <w:spacing w:beforeLines="0" w:afterLines="0" w:line="500" w:lineRule="atLeast"/>
        <w:ind w:firstLine="0"/>
        <w:rPr>
          <w:rFonts w:ascii="Times New Roman" w:hAnsi="Times New Roman" w:eastAsia="方正小标宋_GBK"/>
          <w:b w:val="0"/>
          <w:bCs w:val="0"/>
          <w:color w:val="auto"/>
          <w:sz w:val="40"/>
          <w:szCs w:val="40"/>
        </w:rPr>
      </w:pPr>
      <w:bookmarkStart w:id="135" w:name="_Toc23965"/>
      <w:r>
        <w:rPr>
          <w:rFonts w:ascii="Times New Roman" w:hAnsi="Times New Roman" w:eastAsia="方正小标宋_GBK"/>
          <w:b w:val="0"/>
          <w:bCs w:val="0"/>
          <w:color w:val="auto"/>
          <w:sz w:val="40"/>
          <w:szCs w:val="40"/>
        </w:rPr>
        <w:t xml:space="preserve"> 采购需求及清单</w:t>
      </w:r>
      <w:bookmarkEnd w:id="135"/>
    </w:p>
    <w:p w14:paraId="6B437432">
      <w:pPr>
        <w:pStyle w:val="3"/>
        <w:numPr>
          <w:ilvl w:val="0"/>
          <w:numId w:val="0"/>
        </w:numPr>
        <w:spacing w:beforeLines="0" w:afterLines="0" w:line="500" w:lineRule="atLeast"/>
        <w:jc w:val="left"/>
        <w:rPr>
          <w:rFonts w:hint="eastAsia" w:ascii="宋体" w:hAnsi="宋体" w:eastAsia="宋体"/>
          <w:b w:val="0"/>
          <w:bCs w:val="0"/>
          <w:color w:val="auto"/>
          <w:sz w:val="21"/>
          <w:szCs w:val="21"/>
        </w:rPr>
      </w:pPr>
      <w:bookmarkStart w:id="136" w:name="_Toc28814_WPSOffice_Level2"/>
      <w:bookmarkStart w:id="137" w:name="_Toc155251428"/>
      <w:bookmarkStart w:id="138" w:name="_Toc10970_WPSOffice_Level1"/>
      <w:bookmarkStart w:id="139" w:name="_Toc4360"/>
      <w:r>
        <w:rPr>
          <w:rFonts w:hint="eastAsia" w:ascii="宋体" w:hAnsi="宋体" w:eastAsia="宋体"/>
          <w:b w:val="0"/>
          <w:bCs w:val="0"/>
          <w:color w:val="auto"/>
          <w:sz w:val="21"/>
          <w:szCs w:val="21"/>
        </w:rPr>
        <w:t>详见第四章“</w:t>
      </w:r>
      <w:r>
        <w:rPr>
          <w:rFonts w:ascii="宋体" w:hAnsi="宋体" w:eastAsia="宋体"/>
          <w:b w:val="0"/>
          <w:bCs w:val="0"/>
          <w:color w:val="auto"/>
          <w:sz w:val="21"/>
          <w:szCs w:val="21"/>
        </w:rPr>
        <w:t>合同内容”</w:t>
      </w:r>
      <w:bookmarkEnd w:id="136"/>
      <w:bookmarkEnd w:id="137"/>
      <w:bookmarkEnd w:id="138"/>
      <w:r>
        <w:rPr>
          <w:rFonts w:ascii="宋体" w:hAnsi="宋体" w:eastAsia="宋体"/>
          <w:b w:val="0"/>
          <w:bCs w:val="0"/>
          <w:color w:val="auto"/>
          <w:sz w:val="21"/>
          <w:szCs w:val="21"/>
        </w:rPr>
        <w:t>附件3：家私价格清单</w:t>
      </w:r>
    </w:p>
    <w:p w14:paraId="15CD94BB">
      <w:pPr>
        <w:pStyle w:val="3"/>
        <w:numPr>
          <w:ilvl w:val="0"/>
          <w:numId w:val="0"/>
        </w:numPr>
        <w:spacing w:beforeLines="0" w:afterLines="0" w:line="500" w:lineRule="atLeast"/>
        <w:jc w:val="left"/>
        <w:rPr>
          <w:rFonts w:hint="eastAsia" w:ascii="宋体" w:hAnsi="宋体" w:eastAsia="宋体" w:cs="仿宋"/>
          <w:b w:val="0"/>
          <w:bCs w:val="0"/>
          <w:color w:val="auto"/>
          <w:kern w:val="0"/>
          <w:sz w:val="21"/>
          <w:szCs w:val="21"/>
        </w:rPr>
      </w:pPr>
    </w:p>
    <w:p w14:paraId="0ACF9970">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r>
        <w:rPr>
          <w:rFonts w:ascii="Times New Roman" w:hAnsi="Times New Roman" w:eastAsia="方正小标宋_GBK"/>
          <w:b w:val="0"/>
          <w:bCs w:val="0"/>
          <w:color w:val="auto"/>
          <w:sz w:val="40"/>
          <w:szCs w:val="40"/>
        </w:rPr>
        <w:br w:type="page"/>
      </w:r>
    </w:p>
    <w:p w14:paraId="593E0673">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3B8A3C6D">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413CE27C">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57C9946C">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6B4FEA38">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p>
    <w:p w14:paraId="73D95143">
      <w:pPr>
        <w:pStyle w:val="3"/>
        <w:numPr>
          <w:ilvl w:val="0"/>
          <w:numId w:val="0"/>
        </w:numPr>
        <w:spacing w:beforeLines="0" w:afterLines="0" w:line="500" w:lineRule="atLeast"/>
        <w:ind w:left="402"/>
        <w:rPr>
          <w:rFonts w:ascii="Times New Roman" w:hAnsi="Times New Roman" w:eastAsia="方正小标宋_GBK"/>
          <w:b w:val="0"/>
          <w:bCs w:val="0"/>
          <w:color w:val="auto"/>
          <w:sz w:val="40"/>
          <w:szCs w:val="40"/>
        </w:rPr>
      </w:pPr>
      <w:r>
        <w:rPr>
          <w:rFonts w:ascii="Times New Roman" w:hAnsi="Times New Roman" w:eastAsia="方正小标宋_GBK"/>
          <w:b w:val="0"/>
          <w:bCs w:val="0"/>
          <w:color w:val="auto"/>
          <w:sz w:val="40"/>
          <w:szCs w:val="40"/>
        </w:rPr>
        <w:t>第六章 响应文件格式</w:t>
      </w:r>
      <w:bookmarkEnd w:id="128"/>
      <w:bookmarkEnd w:id="139"/>
    </w:p>
    <w:p w14:paraId="730F7F55">
      <w:pPr>
        <w:rPr>
          <w:rFonts w:ascii="Times New Roman" w:hAnsi="Times New Roman" w:eastAsia="黑体"/>
          <w:color w:val="auto"/>
          <w:sz w:val="20"/>
          <w:szCs w:val="20"/>
        </w:rPr>
      </w:pPr>
    </w:p>
    <w:p w14:paraId="3494D3CB">
      <w:pPr>
        <w:spacing w:line="500" w:lineRule="atLeast"/>
        <w:jc w:val="center"/>
        <w:rPr>
          <w:rFonts w:ascii="Times New Roman" w:hAnsi="Times New Roman" w:eastAsia="黑体"/>
          <w:color w:val="auto"/>
          <w:sz w:val="30"/>
          <w:szCs w:val="30"/>
          <w:u w:val="single"/>
        </w:rPr>
        <w:sectPr>
          <w:footnotePr>
            <w:numFmt w:val="decimalEnclosedCircleChinese"/>
          </w:footnotePr>
          <w:pgSz w:w="11906" w:h="16838"/>
          <w:pgMar w:top="1440" w:right="1709" w:bottom="1440" w:left="1797" w:header="851" w:footer="992" w:gutter="0"/>
          <w:cols w:space="720" w:num="1"/>
          <w:docGrid w:type="linesAndChars" w:linePitch="312" w:charSpace="0"/>
        </w:sectPr>
      </w:pPr>
    </w:p>
    <w:p w14:paraId="4C8DEC96">
      <w:pPr>
        <w:rPr>
          <w:rFonts w:ascii="Times New Roman" w:hAnsi="Times New Roman" w:eastAsia="黑体"/>
          <w:bCs/>
          <w:color w:val="auto"/>
          <w:kern w:val="0"/>
          <w:sz w:val="28"/>
          <w:szCs w:val="28"/>
        </w:rPr>
      </w:pPr>
      <w:r>
        <w:rPr>
          <w:rFonts w:ascii="Times New Roman" w:hAnsi="Times New Roman"/>
          <w:color w:val="auto"/>
          <w:sz w:val="24"/>
          <w:u w:val="single"/>
          <w:lang w:bidi="ar"/>
        </w:rPr>
        <w:t>正本1份、副本1份，密封包装在一个封套内。</w:t>
      </w:r>
      <w:r>
        <w:rPr>
          <w:rFonts w:ascii="Times New Roman" w:hAnsi="Times New Roman"/>
          <w:b/>
          <w:bCs/>
          <w:color w:val="auto"/>
          <w:sz w:val="32"/>
          <w:szCs w:val="32"/>
          <w:u w:val="single"/>
          <w:lang w:bidi="ar"/>
        </w:rPr>
        <w:t>同时提供响应文件盖章扫描件U盘1个</w:t>
      </w:r>
      <w:r>
        <w:rPr>
          <w:rFonts w:ascii="Times New Roman" w:hAnsi="Times New Roman"/>
          <w:color w:val="auto"/>
          <w:sz w:val="24"/>
          <w:u w:val="single"/>
          <w:lang w:bidi="ar"/>
        </w:rPr>
        <w:t>，封套文字如下：</w:t>
      </w:r>
    </w:p>
    <w:p w14:paraId="7BBA0829">
      <w:pPr>
        <w:spacing w:line="360" w:lineRule="auto"/>
        <w:rPr>
          <w:rFonts w:ascii="Times New Roman" w:hAnsi="Times New Roman" w:eastAsia="黑体"/>
          <w:bCs/>
          <w:snapToGrid w:val="0"/>
          <w:color w:val="auto"/>
          <w:kern w:val="0"/>
          <w:sz w:val="28"/>
          <w:szCs w:val="28"/>
        </w:rPr>
      </w:pPr>
    </w:p>
    <w:p w14:paraId="2AD80CA6">
      <w:pPr>
        <w:spacing w:line="360" w:lineRule="auto"/>
        <w:rPr>
          <w:rFonts w:ascii="Times New Roman" w:hAnsi="Times New Roman" w:eastAsia="黑体"/>
          <w:bCs/>
          <w:snapToGrid w:val="0"/>
          <w:color w:val="auto"/>
          <w:kern w:val="0"/>
          <w:sz w:val="28"/>
          <w:szCs w:val="28"/>
          <w:u w:val="single"/>
        </w:rPr>
      </w:pPr>
      <w:r>
        <w:rPr>
          <w:rFonts w:ascii="Times New Roman" w:hAnsi="Times New Roman" w:eastAsia="黑体"/>
          <w:bCs/>
          <w:snapToGrid w:val="0"/>
          <w:color w:val="auto"/>
          <w:kern w:val="0"/>
          <w:sz w:val="28"/>
          <w:szCs w:val="28"/>
        </w:rPr>
        <w:t>供应商名称：</w:t>
      </w:r>
      <w:r>
        <w:rPr>
          <w:rFonts w:ascii="Times New Roman" w:hAnsi="Times New Roman" w:eastAsia="黑体"/>
          <w:bCs/>
          <w:snapToGrid w:val="0"/>
          <w:color w:val="auto"/>
          <w:kern w:val="0"/>
          <w:sz w:val="28"/>
          <w:szCs w:val="28"/>
          <w:u w:val="single"/>
        </w:rPr>
        <w:t xml:space="preserve">                               </w:t>
      </w:r>
    </w:p>
    <w:p w14:paraId="3D6A0A9B">
      <w:pPr>
        <w:spacing w:line="360" w:lineRule="auto"/>
        <w:rPr>
          <w:rFonts w:ascii="Times New Roman" w:hAnsi="Times New Roman" w:eastAsia="黑体"/>
          <w:bCs/>
          <w:snapToGrid w:val="0"/>
          <w:color w:val="auto"/>
          <w:kern w:val="0"/>
          <w:sz w:val="28"/>
          <w:szCs w:val="28"/>
          <w:u w:val="single"/>
        </w:rPr>
      </w:pPr>
    </w:p>
    <w:p w14:paraId="2825AF08">
      <w:pPr>
        <w:spacing w:line="360" w:lineRule="auto"/>
        <w:jc w:val="center"/>
        <w:rPr>
          <w:rFonts w:ascii="Times New Roman" w:hAnsi="Times New Roman" w:eastAsia="黑体"/>
          <w:bCs/>
          <w:snapToGrid w:val="0"/>
          <w:color w:val="auto"/>
          <w:kern w:val="0"/>
          <w:sz w:val="28"/>
          <w:szCs w:val="28"/>
          <w:u w:val="single"/>
        </w:rPr>
      </w:pPr>
    </w:p>
    <w:p w14:paraId="48B88DC3">
      <w:pPr>
        <w:spacing w:line="360" w:lineRule="auto"/>
        <w:jc w:val="center"/>
        <w:rPr>
          <w:rFonts w:ascii="Times New Roman" w:hAnsi="Times New Roman" w:eastAsia="黑体"/>
          <w:bCs/>
          <w:snapToGrid w:val="0"/>
          <w:color w:val="auto"/>
          <w:kern w:val="0"/>
          <w:sz w:val="28"/>
          <w:szCs w:val="28"/>
          <w:u w:val="single"/>
        </w:rPr>
      </w:pPr>
    </w:p>
    <w:p w14:paraId="6B235318">
      <w:pPr>
        <w:spacing w:line="360" w:lineRule="auto"/>
        <w:jc w:val="center"/>
        <w:rPr>
          <w:rFonts w:ascii="Times New Roman" w:hAnsi="Times New Roman" w:eastAsia="黑体"/>
          <w:bCs/>
          <w:snapToGrid w:val="0"/>
          <w:color w:val="auto"/>
          <w:kern w:val="0"/>
          <w:sz w:val="28"/>
          <w:szCs w:val="28"/>
          <w:u w:val="single"/>
        </w:rPr>
      </w:pPr>
    </w:p>
    <w:p w14:paraId="4537B714">
      <w:pPr>
        <w:spacing w:line="360" w:lineRule="auto"/>
        <w:jc w:val="center"/>
        <w:rPr>
          <w:rFonts w:ascii="Times New Roman" w:hAnsi="Times New Roman" w:eastAsia="黑体"/>
          <w:bCs/>
          <w:snapToGrid w:val="0"/>
          <w:color w:val="auto"/>
          <w:kern w:val="0"/>
          <w:sz w:val="36"/>
          <w:szCs w:val="36"/>
          <w:u w:val="single"/>
        </w:rPr>
      </w:pPr>
      <w:r>
        <w:rPr>
          <w:rFonts w:hint="eastAsia" w:ascii="Times New Roman" w:hAnsi="Times New Roman" w:eastAsia="黑体"/>
          <w:bCs/>
          <w:snapToGrid w:val="0"/>
          <w:color w:val="auto"/>
          <w:kern w:val="0"/>
          <w:sz w:val="36"/>
          <w:szCs w:val="36"/>
          <w:u w:val="single"/>
        </w:rPr>
        <w:t>深圳安联尚璟府项目阶段性软装家装类框架采购（2025年度）</w:t>
      </w:r>
    </w:p>
    <w:p w14:paraId="057761BF">
      <w:pPr>
        <w:spacing w:line="360" w:lineRule="auto"/>
        <w:jc w:val="center"/>
        <w:rPr>
          <w:rFonts w:ascii="Times New Roman" w:hAnsi="Times New Roman" w:eastAsia="黑体"/>
          <w:bCs/>
          <w:snapToGrid w:val="0"/>
          <w:color w:val="auto"/>
          <w:kern w:val="0"/>
          <w:sz w:val="36"/>
          <w:szCs w:val="36"/>
        </w:rPr>
      </w:pPr>
      <w:r>
        <w:rPr>
          <w:rFonts w:ascii="Times New Roman" w:hAnsi="Times New Roman" w:eastAsia="黑体"/>
          <w:bCs/>
          <w:snapToGrid w:val="0"/>
          <w:color w:val="auto"/>
          <w:kern w:val="0"/>
          <w:sz w:val="36"/>
          <w:szCs w:val="36"/>
        </w:rPr>
        <w:t>合同包响应文件</w:t>
      </w:r>
    </w:p>
    <w:p w14:paraId="4FED89F1">
      <w:pPr>
        <w:pStyle w:val="2"/>
        <w:rPr>
          <w:rFonts w:ascii="Times New Roman" w:hAnsi="Times New Roman"/>
          <w:color w:val="auto"/>
        </w:rPr>
      </w:pPr>
    </w:p>
    <w:p w14:paraId="66D1CD2C">
      <w:pPr>
        <w:spacing w:line="360" w:lineRule="auto"/>
        <w:ind w:firstLine="420"/>
        <w:jc w:val="center"/>
        <w:rPr>
          <w:rFonts w:ascii="Times New Roman" w:hAnsi="Times New Roman" w:eastAsia="黑体"/>
          <w:bCs/>
          <w:snapToGrid w:val="0"/>
          <w:color w:val="auto"/>
          <w:kern w:val="0"/>
          <w:sz w:val="28"/>
          <w:szCs w:val="28"/>
        </w:rPr>
      </w:pPr>
    </w:p>
    <w:p w14:paraId="19B8FD09">
      <w:pPr>
        <w:spacing w:line="360" w:lineRule="auto"/>
        <w:jc w:val="center"/>
        <w:rPr>
          <w:rFonts w:ascii="Times New Roman" w:hAnsi="Times New Roman" w:eastAsia="黑体"/>
          <w:bCs/>
          <w:snapToGrid w:val="0"/>
          <w:color w:val="auto"/>
          <w:kern w:val="0"/>
          <w:sz w:val="28"/>
          <w:szCs w:val="28"/>
        </w:rPr>
      </w:pPr>
    </w:p>
    <w:p w14:paraId="68CFF2E5">
      <w:pPr>
        <w:spacing w:line="360" w:lineRule="auto"/>
        <w:jc w:val="center"/>
        <w:rPr>
          <w:rFonts w:ascii="Times New Roman" w:hAnsi="Times New Roman" w:eastAsia="黑体"/>
          <w:bCs/>
          <w:snapToGrid w:val="0"/>
          <w:color w:val="auto"/>
          <w:kern w:val="0"/>
          <w:sz w:val="28"/>
          <w:szCs w:val="28"/>
        </w:rPr>
      </w:pPr>
    </w:p>
    <w:p w14:paraId="0CA636FA">
      <w:pPr>
        <w:spacing w:line="360" w:lineRule="auto"/>
        <w:jc w:val="center"/>
        <w:rPr>
          <w:rFonts w:ascii="Times New Roman" w:hAnsi="Times New Roman" w:eastAsia="黑体"/>
          <w:bCs/>
          <w:snapToGrid w:val="0"/>
          <w:color w:val="auto"/>
          <w:kern w:val="0"/>
          <w:sz w:val="28"/>
          <w:szCs w:val="28"/>
        </w:rPr>
      </w:pPr>
    </w:p>
    <w:p w14:paraId="5F97CAFE">
      <w:pPr>
        <w:spacing w:line="360" w:lineRule="auto"/>
        <w:jc w:val="center"/>
        <w:rPr>
          <w:rFonts w:ascii="Times New Roman" w:hAnsi="Times New Roman" w:eastAsia="黑体"/>
          <w:bCs/>
          <w:snapToGrid w:val="0"/>
          <w:color w:val="auto"/>
          <w:kern w:val="0"/>
          <w:sz w:val="28"/>
          <w:szCs w:val="28"/>
        </w:rPr>
      </w:pPr>
      <w:r>
        <w:rPr>
          <w:rFonts w:ascii="Times New Roman" w:hAnsi="Times New Roman" w:eastAsia="黑体"/>
          <w:bCs/>
          <w:snapToGrid w:val="0"/>
          <w:color w:val="auto"/>
          <w:kern w:val="0"/>
          <w:sz w:val="28"/>
          <w:szCs w:val="28"/>
        </w:rPr>
        <w:t>在</w:t>
      </w:r>
      <w:r>
        <w:rPr>
          <w:rFonts w:ascii="Times New Roman" w:hAnsi="Times New Roman" w:eastAsia="黑体"/>
          <w:bCs/>
          <w:snapToGrid w:val="0"/>
          <w:color w:val="auto"/>
          <w:kern w:val="0"/>
          <w:sz w:val="28"/>
          <w:szCs w:val="28"/>
          <w:u w:val="single"/>
        </w:rPr>
        <w:t xml:space="preserve"> 202</w:t>
      </w:r>
      <w:r>
        <w:rPr>
          <w:rFonts w:hint="eastAsia" w:ascii="Times New Roman" w:hAnsi="Times New Roman" w:eastAsia="黑体"/>
          <w:bCs/>
          <w:snapToGrid w:val="0"/>
          <w:color w:val="auto"/>
          <w:kern w:val="0"/>
          <w:sz w:val="28"/>
          <w:szCs w:val="28"/>
          <w:u w:val="single"/>
        </w:rPr>
        <w:t>5</w:t>
      </w:r>
      <w:r>
        <w:rPr>
          <w:rFonts w:ascii="Times New Roman" w:hAnsi="Times New Roman" w:eastAsia="黑体"/>
          <w:bCs/>
          <w:snapToGrid w:val="0"/>
          <w:color w:val="auto"/>
          <w:kern w:val="0"/>
          <w:sz w:val="28"/>
          <w:szCs w:val="28"/>
          <w:u w:val="single"/>
        </w:rPr>
        <w:t xml:space="preserve"> </w:t>
      </w:r>
      <w:r>
        <w:rPr>
          <w:rFonts w:ascii="Times New Roman" w:hAnsi="Times New Roman" w:eastAsia="黑体"/>
          <w:bCs/>
          <w:snapToGrid w:val="0"/>
          <w:color w:val="auto"/>
          <w:kern w:val="0"/>
          <w:sz w:val="28"/>
          <w:szCs w:val="28"/>
        </w:rPr>
        <w:t>年</w:t>
      </w:r>
      <w:r>
        <w:rPr>
          <w:rFonts w:ascii="Times New Roman" w:hAnsi="Times New Roman" w:eastAsia="黑体"/>
          <w:bCs/>
          <w:snapToGrid w:val="0"/>
          <w:color w:val="auto"/>
          <w:kern w:val="0"/>
          <w:sz w:val="28"/>
          <w:szCs w:val="28"/>
          <w:u w:val="single"/>
        </w:rPr>
        <w:t xml:space="preserve"> </w:t>
      </w:r>
      <w:r>
        <w:rPr>
          <w:rFonts w:hint="eastAsia" w:ascii="Times New Roman" w:hAnsi="Times New Roman" w:eastAsia="黑体"/>
          <w:bCs/>
          <w:snapToGrid w:val="0"/>
          <w:color w:val="auto"/>
          <w:kern w:val="0"/>
          <w:sz w:val="28"/>
          <w:szCs w:val="28"/>
          <w:u w:val="single"/>
        </w:rPr>
        <w:t>3</w:t>
      </w:r>
      <w:r>
        <w:rPr>
          <w:rFonts w:ascii="Times New Roman" w:hAnsi="Times New Roman" w:eastAsia="黑体"/>
          <w:bCs/>
          <w:snapToGrid w:val="0"/>
          <w:color w:val="auto"/>
          <w:kern w:val="0"/>
          <w:sz w:val="28"/>
          <w:szCs w:val="28"/>
          <w:u w:val="single"/>
        </w:rPr>
        <w:t xml:space="preserve"> </w:t>
      </w:r>
      <w:r>
        <w:rPr>
          <w:rFonts w:ascii="Times New Roman" w:hAnsi="Times New Roman" w:eastAsia="黑体"/>
          <w:bCs/>
          <w:snapToGrid w:val="0"/>
          <w:color w:val="auto"/>
          <w:kern w:val="0"/>
          <w:sz w:val="28"/>
          <w:szCs w:val="28"/>
        </w:rPr>
        <w:t>月</w:t>
      </w:r>
      <w:r>
        <w:rPr>
          <w:rFonts w:ascii="Times New Roman" w:hAnsi="Times New Roman" w:eastAsia="黑体"/>
          <w:bCs/>
          <w:snapToGrid w:val="0"/>
          <w:color w:val="auto"/>
          <w:kern w:val="0"/>
          <w:sz w:val="28"/>
          <w:szCs w:val="28"/>
          <w:u w:val="single"/>
        </w:rPr>
        <w:t xml:space="preserve"> </w:t>
      </w:r>
      <w:r>
        <w:rPr>
          <w:rFonts w:hint="eastAsia" w:ascii="Times New Roman" w:hAnsi="Times New Roman" w:eastAsia="黑体"/>
          <w:bCs/>
          <w:snapToGrid w:val="0"/>
          <w:color w:val="auto"/>
          <w:kern w:val="0"/>
          <w:sz w:val="28"/>
          <w:szCs w:val="28"/>
          <w:u w:val="single"/>
          <w:lang w:val="en-US" w:eastAsia="zh-CN"/>
        </w:rPr>
        <w:t>31</w:t>
      </w:r>
      <w:r>
        <w:rPr>
          <w:rFonts w:ascii="Times New Roman" w:hAnsi="Times New Roman" w:eastAsia="黑体"/>
          <w:bCs/>
          <w:snapToGrid w:val="0"/>
          <w:color w:val="auto"/>
          <w:kern w:val="0"/>
          <w:sz w:val="28"/>
          <w:szCs w:val="28"/>
          <w:u w:val="single"/>
        </w:rPr>
        <w:t xml:space="preserve"> </w:t>
      </w:r>
      <w:r>
        <w:rPr>
          <w:rFonts w:ascii="Times New Roman" w:hAnsi="Times New Roman" w:eastAsia="黑体"/>
          <w:bCs/>
          <w:snapToGrid w:val="0"/>
          <w:color w:val="auto"/>
          <w:kern w:val="0"/>
          <w:sz w:val="28"/>
          <w:szCs w:val="28"/>
        </w:rPr>
        <w:t>日</w:t>
      </w:r>
      <w:r>
        <w:rPr>
          <w:rFonts w:ascii="Times New Roman" w:hAnsi="Times New Roman" w:eastAsia="黑体"/>
          <w:bCs/>
          <w:snapToGrid w:val="0"/>
          <w:color w:val="auto"/>
          <w:kern w:val="0"/>
          <w:sz w:val="28"/>
          <w:szCs w:val="28"/>
          <w:u w:val="single"/>
        </w:rPr>
        <w:t xml:space="preserve"> 1</w:t>
      </w:r>
      <w:r>
        <w:rPr>
          <w:rFonts w:hint="eastAsia" w:ascii="Times New Roman" w:hAnsi="Times New Roman" w:eastAsia="黑体"/>
          <w:bCs/>
          <w:snapToGrid w:val="0"/>
          <w:color w:val="auto"/>
          <w:kern w:val="0"/>
          <w:sz w:val="28"/>
          <w:szCs w:val="28"/>
          <w:u w:val="single"/>
          <w:lang w:val="en-US" w:eastAsia="zh-CN"/>
        </w:rPr>
        <w:t>7</w:t>
      </w:r>
      <w:bookmarkStart w:id="214" w:name="_GoBack"/>
      <w:bookmarkEnd w:id="214"/>
      <w:r>
        <w:rPr>
          <w:rFonts w:ascii="Times New Roman" w:hAnsi="Times New Roman" w:eastAsia="黑体"/>
          <w:bCs/>
          <w:snapToGrid w:val="0"/>
          <w:color w:val="auto"/>
          <w:kern w:val="0"/>
          <w:sz w:val="28"/>
          <w:szCs w:val="28"/>
          <w:u w:val="single"/>
        </w:rPr>
        <w:t xml:space="preserve"> </w:t>
      </w:r>
      <w:r>
        <w:rPr>
          <w:rFonts w:ascii="Times New Roman" w:hAnsi="Times New Roman" w:eastAsia="黑体"/>
          <w:bCs/>
          <w:snapToGrid w:val="0"/>
          <w:color w:val="auto"/>
          <w:kern w:val="0"/>
          <w:sz w:val="28"/>
          <w:szCs w:val="28"/>
        </w:rPr>
        <w:t>时</w:t>
      </w:r>
      <w:r>
        <w:rPr>
          <w:rFonts w:ascii="Times New Roman" w:hAnsi="Times New Roman" w:eastAsia="黑体"/>
          <w:bCs/>
          <w:snapToGrid w:val="0"/>
          <w:color w:val="auto"/>
          <w:kern w:val="0"/>
          <w:sz w:val="28"/>
          <w:szCs w:val="28"/>
          <w:u w:val="single"/>
        </w:rPr>
        <w:t xml:space="preserve"> 00 </w:t>
      </w:r>
      <w:r>
        <w:rPr>
          <w:rFonts w:ascii="Times New Roman" w:hAnsi="Times New Roman" w:eastAsia="黑体"/>
          <w:bCs/>
          <w:snapToGrid w:val="0"/>
          <w:color w:val="auto"/>
          <w:kern w:val="0"/>
          <w:sz w:val="28"/>
          <w:szCs w:val="28"/>
        </w:rPr>
        <w:t>分（递交响应文件的截止时间）</w:t>
      </w:r>
    </w:p>
    <w:p w14:paraId="5D5358A0">
      <w:pPr>
        <w:spacing w:line="360" w:lineRule="auto"/>
        <w:jc w:val="center"/>
        <w:rPr>
          <w:rFonts w:ascii="Times New Roman" w:hAnsi="Times New Roman" w:eastAsia="黑体"/>
          <w:color w:val="auto"/>
          <w:sz w:val="28"/>
          <w:szCs w:val="28"/>
        </w:rPr>
      </w:pPr>
      <w:r>
        <w:rPr>
          <w:rFonts w:ascii="Times New Roman" w:hAnsi="Times New Roman" w:eastAsia="黑体"/>
          <w:bCs/>
          <w:snapToGrid w:val="0"/>
          <w:color w:val="auto"/>
          <w:kern w:val="0"/>
          <w:sz w:val="28"/>
          <w:szCs w:val="28"/>
        </w:rPr>
        <w:t>前不得开启</w:t>
      </w:r>
    </w:p>
    <w:p w14:paraId="617BD09C">
      <w:pPr>
        <w:spacing w:line="500" w:lineRule="atLeast"/>
        <w:jc w:val="center"/>
        <w:rPr>
          <w:rFonts w:ascii="Times New Roman" w:hAnsi="Times New Roman" w:eastAsia="黑体"/>
          <w:color w:val="auto"/>
          <w:sz w:val="30"/>
          <w:szCs w:val="30"/>
          <w:u w:val="single"/>
        </w:rPr>
      </w:pPr>
    </w:p>
    <w:p w14:paraId="65FECC62">
      <w:pPr>
        <w:spacing w:line="500" w:lineRule="atLeast"/>
        <w:jc w:val="center"/>
        <w:rPr>
          <w:rFonts w:ascii="Times New Roman" w:hAnsi="Times New Roman" w:eastAsia="黑体"/>
          <w:color w:val="auto"/>
          <w:sz w:val="30"/>
          <w:szCs w:val="30"/>
          <w:u w:val="single"/>
        </w:rPr>
        <w:sectPr>
          <w:footerReference r:id="rId11" w:type="default"/>
          <w:footnotePr>
            <w:numFmt w:val="decimalEnclosedCircleChinese"/>
          </w:footnotePr>
          <w:pgSz w:w="11906" w:h="16838"/>
          <w:pgMar w:top="1440" w:right="1709" w:bottom="1440" w:left="1797" w:header="851" w:footer="992" w:gutter="0"/>
          <w:cols w:space="720" w:num="1"/>
          <w:docGrid w:type="linesAndChars" w:linePitch="312" w:charSpace="0"/>
        </w:sectPr>
      </w:pPr>
    </w:p>
    <w:p w14:paraId="7AF3B206">
      <w:pPr>
        <w:spacing w:line="500" w:lineRule="atLeast"/>
        <w:jc w:val="center"/>
        <w:rPr>
          <w:rFonts w:ascii="Times New Roman" w:hAnsi="Times New Roman" w:eastAsia="黑体"/>
          <w:color w:val="auto"/>
          <w:sz w:val="36"/>
          <w:szCs w:val="36"/>
        </w:rPr>
      </w:pPr>
      <w:r>
        <w:rPr>
          <w:rFonts w:hint="eastAsia" w:ascii="Times New Roman" w:hAnsi="Times New Roman" w:eastAsia="黑体"/>
          <w:color w:val="auto"/>
          <w:sz w:val="36"/>
          <w:szCs w:val="36"/>
          <w:u w:val="single"/>
        </w:rPr>
        <w:t>深圳安联尚璟府项目阶段性软装家装类框架采购（2025年度）</w:t>
      </w:r>
      <w:r>
        <w:rPr>
          <w:rFonts w:ascii="Times New Roman" w:hAnsi="Times New Roman" w:eastAsia="黑体"/>
          <w:color w:val="auto"/>
          <w:sz w:val="36"/>
          <w:szCs w:val="36"/>
        </w:rPr>
        <w:t>合同包询比</w:t>
      </w:r>
    </w:p>
    <w:p w14:paraId="72019BFE">
      <w:pPr>
        <w:spacing w:line="500" w:lineRule="atLeast"/>
        <w:jc w:val="center"/>
        <w:rPr>
          <w:rFonts w:ascii="Times New Roman" w:hAnsi="Times New Roman" w:eastAsia="黑体"/>
          <w:color w:val="auto"/>
          <w:sz w:val="36"/>
          <w:szCs w:val="36"/>
        </w:rPr>
      </w:pPr>
      <w:r>
        <w:rPr>
          <w:rFonts w:ascii="Times New Roman" w:hAnsi="Times New Roman" w:eastAsia="黑体"/>
          <w:color w:val="auto"/>
          <w:sz w:val="36"/>
          <w:szCs w:val="36"/>
        </w:rPr>
        <w:t xml:space="preserve"> </w:t>
      </w:r>
    </w:p>
    <w:p w14:paraId="42CA5D61">
      <w:pPr>
        <w:spacing w:line="500" w:lineRule="atLeast"/>
        <w:rPr>
          <w:rFonts w:ascii="Times New Roman" w:hAnsi="Times New Roman" w:eastAsia="黑体"/>
          <w:color w:val="auto"/>
          <w:sz w:val="20"/>
          <w:szCs w:val="20"/>
        </w:rPr>
      </w:pPr>
      <w:r>
        <w:rPr>
          <w:rFonts w:ascii="Times New Roman" w:hAnsi="Times New Roman" w:eastAsia="黑体"/>
          <w:color w:val="auto"/>
          <w:sz w:val="20"/>
          <w:szCs w:val="20"/>
        </w:rPr>
        <w:t xml:space="preserve"> </w:t>
      </w:r>
    </w:p>
    <w:p w14:paraId="686D20B0">
      <w:pPr>
        <w:spacing w:line="500" w:lineRule="atLeast"/>
        <w:rPr>
          <w:rFonts w:ascii="Times New Roman" w:hAnsi="Times New Roman" w:eastAsia="黑体"/>
          <w:color w:val="auto"/>
          <w:sz w:val="40"/>
          <w:szCs w:val="40"/>
        </w:rPr>
      </w:pPr>
    </w:p>
    <w:p w14:paraId="3D8BE098">
      <w:pPr>
        <w:spacing w:line="500" w:lineRule="atLeast"/>
        <w:jc w:val="center"/>
        <w:rPr>
          <w:rFonts w:ascii="Times New Roman" w:hAnsi="Times New Roman" w:eastAsia="黑体"/>
          <w:color w:val="auto"/>
          <w:sz w:val="40"/>
          <w:szCs w:val="40"/>
        </w:rPr>
      </w:pPr>
    </w:p>
    <w:p w14:paraId="3A340D32">
      <w:pPr>
        <w:spacing w:line="500" w:lineRule="atLeast"/>
        <w:jc w:val="center"/>
        <w:rPr>
          <w:rFonts w:ascii="Times New Roman" w:hAnsi="Times New Roman" w:eastAsia="黑体"/>
          <w:color w:val="auto"/>
          <w:sz w:val="40"/>
          <w:szCs w:val="40"/>
        </w:rPr>
      </w:pPr>
    </w:p>
    <w:p w14:paraId="79EB192B">
      <w:pPr>
        <w:spacing w:line="500" w:lineRule="atLeast"/>
        <w:jc w:val="center"/>
        <w:rPr>
          <w:rFonts w:ascii="Times New Roman" w:hAnsi="Times New Roman" w:eastAsia="黑体"/>
          <w:color w:val="auto"/>
          <w:sz w:val="40"/>
          <w:szCs w:val="40"/>
        </w:rPr>
      </w:pPr>
    </w:p>
    <w:p w14:paraId="4B3176F0">
      <w:pPr>
        <w:spacing w:line="500" w:lineRule="atLeast"/>
        <w:jc w:val="center"/>
        <w:rPr>
          <w:rFonts w:ascii="Times New Roman" w:hAnsi="Times New Roman" w:eastAsia="方正小标宋_GBK"/>
          <w:color w:val="auto"/>
          <w:sz w:val="52"/>
          <w:szCs w:val="52"/>
        </w:rPr>
      </w:pPr>
      <w:bookmarkStart w:id="140" w:name="_Toc1914_WPSOffice_Level1"/>
      <w:bookmarkStart w:id="141" w:name="_Toc27552_WPSOffice_Level1"/>
      <w:bookmarkStart w:id="142" w:name="_Toc17394_WPSOffice_Level1"/>
      <w:bookmarkStart w:id="143" w:name="_Toc5145_WPSOffice_Level1"/>
      <w:r>
        <w:rPr>
          <w:rFonts w:ascii="Times New Roman" w:hAnsi="Times New Roman" w:eastAsia="方正小标宋_GBK"/>
          <w:color w:val="auto"/>
          <w:sz w:val="52"/>
          <w:szCs w:val="52"/>
        </w:rPr>
        <w:t>响  应  文  件</w:t>
      </w:r>
      <w:bookmarkEnd w:id="140"/>
      <w:bookmarkEnd w:id="141"/>
      <w:bookmarkEnd w:id="142"/>
      <w:bookmarkEnd w:id="143"/>
    </w:p>
    <w:p w14:paraId="43ACB9D1">
      <w:pPr>
        <w:spacing w:line="500" w:lineRule="atLeast"/>
        <w:rPr>
          <w:rFonts w:ascii="Times New Roman" w:hAnsi="Times New Roman" w:eastAsia="黑体"/>
          <w:color w:val="auto"/>
          <w:sz w:val="20"/>
          <w:szCs w:val="20"/>
        </w:rPr>
      </w:pPr>
    </w:p>
    <w:p w14:paraId="54615E97">
      <w:pPr>
        <w:spacing w:line="500" w:lineRule="atLeast"/>
        <w:rPr>
          <w:rFonts w:ascii="Times New Roman" w:hAnsi="Times New Roman" w:eastAsia="黑体"/>
          <w:color w:val="auto"/>
          <w:sz w:val="20"/>
          <w:szCs w:val="20"/>
        </w:rPr>
      </w:pPr>
    </w:p>
    <w:p w14:paraId="3676B4A0">
      <w:pPr>
        <w:spacing w:line="500" w:lineRule="atLeast"/>
        <w:rPr>
          <w:rFonts w:ascii="Times New Roman" w:hAnsi="Times New Roman" w:eastAsia="黑体"/>
          <w:color w:val="auto"/>
          <w:sz w:val="20"/>
          <w:szCs w:val="20"/>
        </w:rPr>
      </w:pPr>
    </w:p>
    <w:p w14:paraId="02FC3BF0">
      <w:pPr>
        <w:spacing w:line="500" w:lineRule="atLeast"/>
        <w:rPr>
          <w:rFonts w:ascii="Times New Roman" w:hAnsi="Times New Roman" w:eastAsia="黑体"/>
          <w:color w:val="auto"/>
          <w:sz w:val="20"/>
          <w:szCs w:val="20"/>
        </w:rPr>
      </w:pPr>
    </w:p>
    <w:p w14:paraId="2194298D">
      <w:pPr>
        <w:spacing w:line="500" w:lineRule="atLeast"/>
        <w:rPr>
          <w:rFonts w:ascii="Times New Roman" w:hAnsi="Times New Roman" w:eastAsia="黑体"/>
          <w:color w:val="auto"/>
          <w:sz w:val="20"/>
          <w:szCs w:val="20"/>
        </w:rPr>
      </w:pPr>
    </w:p>
    <w:p w14:paraId="4C0AC504">
      <w:pPr>
        <w:spacing w:line="500" w:lineRule="atLeast"/>
        <w:rPr>
          <w:rFonts w:ascii="Times New Roman" w:hAnsi="Times New Roman" w:eastAsia="黑体"/>
          <w:color w:val="auto"/>
          <w:sz w:val="20"/>
          <w:szCs w:val="20"/>
        </w:rPr>
      </w:pPr>
    </w:p>
    <w:p w14:paraId="5434FD2C">
      <w:pPr>
        <w:spacing w:line="500" w:lineRule="atLeast"/>
        <w:rPr>
          <w:rFonts w:ascii="Times New Roman" w:hAnsi="Times New Roman" w:eastAsia="黑体"/>
          <w:color w:val="auto"/>
          <w:sz w:val="20"/>
          <w:szCs w:val="20"/>
        </w:rPr>
      </w:pPr>
    </w:p>
    <w:p w14:paraId="0FE16F35">
      <w:pPr>
        <w:spacing w:line="500" w:lineRule="atLeast"/>
        <w:rPr>
          <w:rFonts w:ascii="Times New Roman" w:hAnsi="Times New Roman" w:eastAsia="黑体"/>
          <w:color w:val="auto"/>
          <w:sz w:val="20"/>
          <w:szCs w:val="20"/>
        </w:rPr>
      </w:pPr>
    </w:p>
    <w:p w14:paraId="5673FF26">
      <w:pPr>
        <w:spacing w:line="500" w:lineRule="atLeast"/>
        <w:rPr>
          <w:rFonts w:ascii="Times New Roman" w:hAnsi="Times New Roman" w:eastAsia="黑体"/>
          <w:color w:val="auto"/>
          <w:sz w:val="20"/>
          <w:szCs w:val="20"/>
        </w:rPr>
      </w:pPr>
    </w:p>
    <w:p w14:paraId="3B1025CE">
      <w:pPr>
        <w:spacing w:line="500" w:lineRule="atLeast"/>
        <w:rPr>
          <w:rFonts w:ascii="Times New Roman" w:hAnsi="Times New Roman" w:eastAsia="黑体"/>
          <w:color w:val="auto"/>
          <w:sz w:val="20"/>
          <w:szCs w:val="20"/>
        </w:rPr>
      </w:pPr>
    </w:p>
    <w:p w14:paraId="758710DF">
      <w:pPr>
        <w:spacing w:line="500" w:lineRule="atLeast"/>
        <w:rPr>
          <w:rFonts w:ascii="Times New Roman" w:hAnsi="Times New Roman" w:eastAsia="黑体"/>
          <w:color w:val="auto"/>
          <w:sz w:val="20"/>
          <w:szCs w:val="20"/>
        </w:rPr>
      </w:pPr>
    </w:p>
    <w:p w14:paraId="599F2E53">
      <w:pPr>
        <w:spacing w:line="500" w:lineRule="atLeast"/>
        <w:rPr>
          <w:rFonts w:ascii="Times New Roman" w:hAnsi="Times New Roman" w:eastAsia="黑体"/>
          <w:color w:val="auto"/>
          <w:sz w:val="20"/>
          <w:szCs w:val="20"/>
        </w:rPr>
      </w:pPr>
    </w:p>
    <w:p w14:paraId="4AC114F9">
      <w:pPr>
        <w:spacing w:line="500" w:lineRule="atLeast"/>
        <w:jc w:val="center"/>
        <w:rPr>
          <w:rFonts w:ascii="Times New Roman" w:hAnsi="Times New Roman" w:eastAsia="黑体"/>
          <w:color w:val="auto"/>
          <w:sz w:val="28"/>
          <w:szCs w:val="28"/>
        </w:rPr>
      </w:pPr>
      <w:bookmarkStart w:id="144" w:name="_Toc25232_WPSOffice_Level2"/>
      <w:bookmarkStart w:id="145" w:name="_Toc5520_WPSOffice_Level2"/>
      <w:r>
        <w:rPr>
          <w:rFonts w:ascii="Times New Roman" w:hAnsi="Times New Roman" w:eastAsia="黑体"/>
          <w:color w:val="auto"/>
          <w:sz w:val="28"/>
          <w:szCs w:val="28"/>
        </w:rPr>
        <w:t>供应商：</w:t>
      </w:r>
      <w:r>
        <w:rPr>
          <w:rFonts w:ascii="Times New Roman" w:hAnsi="Times New Roman" w:eastAsia="黑体"/>
          <w:color w:val="auto"/>
          <w:sz w:val="28"/>
          <w:szCs w:val="28"/>
          <w:u w:val="single"/>
        </w:rPr>
        <w:t xml:space="preserve">            (全称、盖单位章)</w:t>
      </w:r>
      <w:bookmarkEnd w:id="144"/>
      <w:bookmarkEnd w:id="145"/>
      <w:r>
        <w:rPr>
          <w:rFonts w:ascii="Times New Roman" w:hAnsi="Times New Roman" w:eastAsia="黑体"/>
          <w:color w:val="auto"/>
          <w:sz w:val="28"/>
          <w:szCs w:val="28"/>
          <w:u w:val="single"/>
        </w:rPr>
        <w:t xml:space="preserve">           </w:t>
      </w:r>
    </w:p>
    <w:p w14:paraId="6C4E60BB">
      <w:pPr>
        <w:spacing w:line="500" w:lineRule="atLeast"/>
        <w:ind w:firstLine="2158" w:firstLineChars="771"/>
        <w:rPr>
          <w:rFonts w:ascii="Times New Roman" w:hAnsi="Times New Roman" w:eastAsia="黑体"/>
          <w:color w:val="auto"/>
          <w:sz w:val="28"/>
          <w:szCs w:val="28"/>
        </w:rPr>
      </w:pPr>
    </w:p>
    <w:p w14:paraId="15E1E2B1">
      <w:pPr>
        <w:spacing w:line="500" w:lineRule="atLeast"/>
        <w:jc w:val="center"/>
        <w:rPr>
          <w:rFonts w:ascii="Times New Roman" w:hAnsi="Times New Roman" w:eastAsia="黑体"/>
          <w:color w:val="auto"/>
          <w:sz w:val="28"/>
          <w:szCs w:val="28"/>
        </w:rPr>
      </w:pPr>
      <w:r>
        <w:rPr>
          <w:rFonts w:ascii="Times New Roman" w:hAnsi="Times New Roman" w:eastAsia="黑体"/>
          <w:color w:val="auto"/>
          <w:sz w:val="28"/>
          <w:szCs w:val="28"/>
          <w:u w:val="single"/>
        </w:rPr>
        <w:t xml:space="preserve">          </w:t>
      </w:r>
      <w:bookmarkStart w:id="146" w:name="_Toc31577_WPSOffice_Level2"/>
      <w:bookmarkStart w:id="147" w:name="_Toc20076_WPSOffice_Level2"/>
      <w:r>
        <w:rPr>
          <w:rFonts w:ascii="Times New Roman" w:hAnsi="Times New Roman" w:eastAsia="黑体"/>
          <w:color w:val="auto"/>
          <w:sz w:val="28"/>
          <w:szCs w:val="28"/>
        </w:rPr>
        <w:t>年</w:t>
      </w:r>
      <w:r>
        <w:rPr>
          <w:rFonts w:ascii="Times New Roman" w:hAnsi="Times New Roman" w:eastAsia="黑体"/>
          <w:color w:val="auto"/>
          <w:sz w:val="28"/>
          <w:szCs w:val="28"/>
          <w:u w:val="single"/>
        </w:rPr>
        <w:t xml:space="preserve">        </w:t>
      </w:r>
      <w:r>
        <w:rPr>
          <w:rFonts w:ascii="Times New Roman" w:hAnsi="Times New Roman" w:eastAsia="黑体"/>
          <w:color w:val="auto"/>
          <w:sz w:val="28"/>
          <w:szCs w:val="28"/>
        </w:rPr>
        <w:t>月</w:t>
      </w:r>
      <w:r>
        <w:rPr>
          <w:rFonts w:ascii="Times New Roman" w:hAnsi="Times New Roman" w:eastAsia="黑体"/>
          <w:color w:val="auto"/>
          <w:sz w:val="28"/>
          <w:szCs w:val="28"/>
          <w:u w:val="single"/>
        </w:rPr>
        <w:t xml:space="preserve">         </w:t>
      </w:r>
      <w:r>
        <w:rPr>
          <w:rFonts w:ascii="Times New Roman" w:hAnsi="Times New Roman" w:eastAsia="黑体"/>
          <w:color w:val="auto"/>
          <w:sz w:val="28"/>
          <w:szCs w:val="28"/>
        </w:rPr>
        <w:t>日</w:t>
      </w:r>
      <w:bookmarkEnd w:id="146"/>
      <w:bookmarkEnd w:id="147"/>
    </w:p>
    <w:p w14:paraId="15C2646A">
      <w:pPr>
        <w:spacing w:line="500" w:lineRule="atLeast"/>
        <w:jc w:val="center"/>
        <w:rPr>
          <w:rFonts w:ascii="Times New Roman" w:hAnsi="Times New Roman" w:eastAsia="黑体"/>
          <w:color w:val="auto"/>
          <w:sz w:val="32"/>
          <w:szCs w:val="32"/>
        </w:rPr>
      </w:pPr>
      <w:r>
        <w:rPr>
          <w:rFonts w:ascii="Times New Roman" w:hAnsi="Times New Roman" w:eastAsia="黑体"/>
          <w:color w:val="auto"/>
          <w:sz w:val="20"/>
          <w:szCs w:val="20"/>
        </w:rPr>
        <w:br w:type="page"/>
      </w:r>
      <w:bookmarkStart w:id="148" w:name="_Toc21974_WPSOffice_Level2"/>
      <w:bookmarkStart w:id="149" w:name="_Toc22351_WPSOffice_Level2"/>
      <w:bookmarkStart w:id="150" w:name="_Toc24262_WPSOffice_Level1"/>
      <w:bookmarkStart w:id="151" w:name="_Toc8446_WPSOffice_Level1"/>
      <w:bookmarkStart w:id="152" w:name="_Toc12459_WPSOffice_Level1"/>
      <w:r>
        <w:rPr>
          <w:rFonts w:ascii="Times New Roman" w:hAnsi="Times New Roman" w:eastAsia="黑体"/>
          <w:color w:val="auto"/>
          <w:sz w:val="32"/>
          <w:szCs w:val="32"/>
        </w:rPr>
        <w:t>目     录</w:t>
      </w:r>
      <w:bookmarkEnd w:id="148"/>
      <w:bookmarkEnd w:id="149"/>
    </w:p>
    <w:p w14:paraId="5D92EE41">
      <w:pPr>
        <w:spacing w:line="500" w:lineRule="atLeast"/>
        <w:jc w:val="center"/>
        <w:rPr>
          <w:rFonts w:ascii="Times New Roman" w:hAnsi="Times New Roman" w:eastAsia="黑体"/>
          <w:color w:val="auto"/>
          <w:sz w:val="32"/>
          <w:szCs w:val="32"/>
        </w:rPr>
      </w:pPr>
    </w:p>
    <w:p w14:paraId="68CB12D8">
      <w:pPr>
        <w:spacing w:line="500" w:lineRule="atLeast"/>
        <w:jc w:val="left"/>
        <w:rPr>
          <w:rFonts w:ascii="Times New Roman" w:hAnsi="Times New Roman" w:eastAsia="黑体"/>
          <w:color w:val="auto"/>
          <w:sz w:val="32"/>
          <w:szCs w:val="32"/>
        </w:rPr>
      </w:pPr>
      <w:bookmarkStart w:id="153" w:name="_Toc6353_WPSOffice_Level1"/>
      <w:bookmarkStart w:id="154" w:name="_Toc30529_WPSOffice_Level1"/>
      <w:bookmarkStart w:id="155" w:name="_Toc11424_WPSOffice_Level1"/>
      <w:bookmarkStart w:id="156" w:name="_Toc23368_WPSOffice_Level1"/>
      <w:r>
        <w:rPr>
          <w:rFonts w:ascii="Times New Roman" w:hAnsi="Times New Roman" w:eastAsia="黑体"/>
          <w:color w:val="auto"/>
          <w:sz w:val="32"/>
          <w:szCs w:val="32"/>
        </w:rPr>
        <w:t>一、报价函</w:t>
      </w:r>
      <w:bookmarkEnd w:id="153"/>
      <w:bookmarkEnd w:id="154"/>
      <w:bookmarkEnd w:id="155"/>
      <w:bookmarkEnd w:id="156"/>
    </w:p>
    <w:p w14:paraId="519EE380">
      <w:pPr>
        <w:spacing w:line="500" w:lineRule="atLeast"/>
        <w:jc w:val="left"/>
        <w:rPr>
          <w:rFonts w:ascii="Times New Roman" w:hAnsi="Times New Roman" w:eastAsia="黑体"/>
          <w:color w:val="auto"/>
          <w:sz w:val="32"/>
          <w:szCs w:val="32"/>
        </w:rPr>
      </w:pPr>
      <w:bookmarkStart w:id="157" w:name="_Toc31927_WPSOffice_Level1"/>
      <w:bookmarkStart w:id="158" w:name="_Toc21229_WPSOffice_Level1"/>
      <w:bookmarkStart w:id="159" w:name="_Toc5317_WPSOffice_Level1"/>
      <w:bookmarkStart w:id="160" w:name="_Toc32729_WPSOffice_Level1"/>
      <w:r>
        <w:rPr>
          <w:rFonts w:ascii="Times New Roman" w:hAnsi="Times New Roman" w:eastAsia="黑体"/>
          <w:color w:val="auto"/>
          <w:sz w:val="32"/>
          <w:szCs w:val="32"/>
        </w:rPr>
        <w:t>二、法定代表人身份证明及授权委托书</w:t>
      </w:r>
      <w:bookmarkEnd w:id="157"/>
      <w:bookmarkEnd w:id="158"/>
      <w:bookmarkEnd w:id="159"/>
      <w:bookmarkEnd w:id="160"/>
    </w:p>
    <w:p w14:paraId="578A8914">
      <w:pPr>
        <w:spacing w:line="500" w:lineRule="atLeast"/>
        <w:jc w:val="left"/>
        <w:rPr>
          <w:rFonts w:ascii="Times New Roman" w:hAnsi="Times New Roman" w:eastAsia="黑体"/>
          <w:color w:val="auto"/>
          <w:sz w:val="32"/>
          <w:szCs w:val="32"/>
        </w:rPr>
      </w:pPr>
      <w:bookmarkStart w:id="161" w:name="_Toc29085_WPSOffice_Level1"/>
      <w:bookmarkStart w:id="162" w:name="_Toc4728_WPSOffice_Level1"/>
      <w:bookmarkStart w:id="163" w:name="_Toc25965_WPSOffice_Level1"/>
      <w:bookmarkStart w:id="164" w:name="_Toc23356_WPSOffice_Level1"/>
      <w:r>
        <w:rPr>
          <w:rFonts w:ascii="Times New Roman" w:hAnsi="Times New Roman" w:eastAsia="黑体"/>
          <w:color w:val="auto"/>
          <w:sz w:val="32"/>
          <w:szCs w:val="32"/>
        </w:rPr>
        <w:t>三、已标价的</w:t>
      </w:r>
      <w:bookmarkEnd w:id="161"/>
      <w:bookmarkEnd w:id="162"/>
      <w:bookmarkEnd w:id="163"/>
      <w:bookmarkEnd w:id="164"/>
      <w:r>
        <w:rPr>
          <w:rFonts w:ascii="Times New Roman" w:hAnsi="Times New Roman" w:eastAsia="黑体"/>
          <w:color w:val="auto"/>
          <w:sz w:val="32"/>
          <w:szCs w:val="32"/>
        </w:rPr>
        <w:t>报价清单</w:t>
      </w:r>
    </w:p>
    <w:p w14:paraId="78B9AD76">
      <w:pPr>
        <w:spacing w:line="500" w:lineRule="atLeast"/>
        <w:jc w:val="left"/>
        <w:rPr>
          <w:rFonts w:ascii="Times New Roman" w:hAnsi="Times New Roman" w:eastAsia="黑体"/>
          <w:color w:val="auto"/>
          <w:sz w:val="32"/>
          <w:szCs w:val="32"/>
        </w:rPr>
      </w:pPr>
      <w:bookmarkStart w:id="165" w:name="_Toc7453_WPSOffice_Level1"/>
      <w:bookmarkStart w:id="166" w:name="_Toc10608_WPSOffice_Level1"/>
      <w:bookmarkStart w:id="167" w:name="_Toc18964_WPSOffice_Level1"/>
      <w:bookmarkStart w:id="168" w:name="_Toc23744_WPSOffice_Level1"/>
      <w:r>
        <w:rPr>
          <w:rFonts w:ascii="Times New Roman" w:hAnsi="Times New Roman" w:eastAsia="黑体"/>
          <w:color w:val="auto"/>
          <w:sz w:val="32"/>
          <w:szCs w:val="32"/>
        </w:rPr>
        <w:t>四、</w:t>
      </w:r>
      <w:bookmarkEnd w:id="165"/>
      <w:bookmarkEnd w:id="166"/>
      <w:bookmarkEnd w:id="167"/>
      <w:bookmarkEnd w:id="168"/>
      <w:r>
        <w:rPr>
          <w:rFonts w:ascii="Times New Roman" w:hAnsi="Times New Roman" w:eastAsia="黑体"/>
          <w:color w:val="auto"/>
          <w:sz w:val="32"/>
          <w:szCs w:val="32"/>
        </w:rPr>
        <w:t>供应商基本情况</w:t>
      </w:r>
    </w:p>
    <w:p w14:paraId="064088F9">
      <w:pPr>
        <w:spacing w:line="500" w:lineRule="atLeast"/>
        <w:jc w:val="left"/>
        <w:rPr>
          <w:rFonts w:ascii="Times New Roman" w:hAnsi="Times New Roman" w:eastAsia="黑体"/>
          <w:color w:val="auto"/>
          <w:sz w:val="32"/>
          <w:szCs w:val="32"/>
        </w:rPr>
      </w:pPr>
      <w:bookmarkStart w:id="169" w:name="_Toc23751_WPSOffice_Level1"/>
      <w:bookmarkStart w:id="170" w:name="_Toc1578_WPSOffice_Level1"/>
      <w:bookmarkStart w:id="171" w:name="_Toc19601_WPSOffice_Level1"/>
      <w:bookmarkStart w:id="172" w:name="_Toc9006_WPSOffice_Level1"/>
      <w:r>
        <w:rPr>
          <w:rFonts w:ascii="Times New Roman" w:hAnsi="Times New Roman" w:eastAsia="黑体"/>
          <w:color w:val="auto"/>
          <w:sz w:val="32"/>
          <w:szCs w:val="32"/>
        </w:rPr>
        <w:t>五、</w:t>
      </w:r>
      <w:bookmarkEnd w:id="169"/>
      <w:bookmarkEnd w:id="170"/>
      <w:bookmarkEnd w:id="171"/>
      <w:bookmarkEnd w:id="172"/>
      <w:bookmarkStart w:id="173" w:name="_Toc24082_WPSOffice_Level1"/>
      <w:bookmarkStart w:id="174" w:name="_Toc31314_WPSOffice_Level1"/>
      <w:r>
        <w:rPr>
          <w:rFonts w:ascii="Times New Roman" w:hAnsi="Times New Roman" w:eastAsia="黑体"/>
          <w:color w:val="auto"/>
          <w:sz w:val="32"/>
          <w:szCs w:val="32"/>
        </w:rPr>
        <w:t>信誉情况</w:t>
      </w:r>
    </w:p>
    <w:p w14:paraId="74D36ABB">
      <w:pPr>
        <w:spacing w:line="500" w:lineRule="atLeast"/>
        <w:jc w:val="left"/>
        <w:rPr>
          <w:rFonts w:ascii="Times New Roman" w:hAnsi="Times New Roman" w:eastAsia="黑体"/>
          <w:color w:val="auto"/>
          <w:sz w:val="32"/>
          <w:szCs w:val="32"/>
        </w:rPr>
      </w:pPr>
      <w:r>
        <w:rPr>
          <w:rFonts w:ascii="Times New Roman" w:hAnsi="Times New Roman" w:eastAsia="黑体"/>
          <w:color w:val="auto"/>
          <w:sz w:val="32"/>
          <w:szCs w:val="32"/>
        </w:rPr>
        <w:t>六、全屋柜类定制设计方案</w:t>
      </w:r>
    </w:p>
    <w:p w14:paraId="6DB28390">
      <w:pPr>
        <w:spacing w:line="500" w:lineRule="atLeast"/>
        <w:jc w:val="left"/>
        <w:rPr>
          <w:rFonts w:ascii="Times New Roman" w:hAnsi="Times New Roman" w:eastAsia="黑体"/>
          <w:color w:val="auto"/>
          <w:sz w:val="32"/>
          <w:szCs w:val="32"/>
        </w:rPr>
      </w:pPr>
    </w:p>
    <w:bookmarkEnd w:id="150"/>
    <w:bookmarkEnd w:id="151"/>
    <w:bookmarkEnd w:id="152"/>
    <w:bookmarkEnd w:id="173"/>
    <w:bookmarkEnd w:id="174"/>
    <w:p w14:paraId="746E206C">
      <w:pPr>
        <w:spacing w:line="500" w:lineRule="atLeast"/>
        <w:jc w:val="left"/>
        <w:rPr>
          <w:rFonts w:ascii="Times New Roman" w:hAnsi="Times New Roman" w:eastAsia="黑体"/>
          <w:color w:val="auto"/>
          <w:sz w:val="32"/>
          <w:szCs w:val="32"/>
        </w:rPr>
      </w:pPr>
    </w:p>
    <w:p w14:paraId="3FDECBD7">
      <w:pPr>
        <w:spacing w:line="500" w:lineRule="atLeast"/>
        <w:jc w:val="left"/>
        <w:rPr>
          <w:rFonts w:ascii="Times New Roman" w:hAnsi="Times New Roman" w:eastAsia="黑体"/>
          <w:color w:val="auto"/>
          <w:sz w:val="32"/>
          <w:szCs w:val="32"/>
        </w:rPr>
      </w:pPr>
    </w:p>
    <w:p w14:paraId="613ED3A4">
      <w:pPr>
        <w:spacing w:line="500" w:lineRule="atLeast"/>
        <w:jc w:val="left"/>
        <w:rPr>
          <w:rFonts w:ascii="Times New Roman" w:hAnsi="Times New Roman" w:eastAsia="黑体"/>
          <w:color w:val="auto"/>
          <w:sz w:val="32"/>
          <w:szCs w:val="32"/>
        </w:rPr>
      </w:pPr>
    </w:p>
    <w:p w14:paraId="424A20EE">
      <w:pPr>
        <w:spacing w:line="600" w:lineRule="exact"/>
        <w:jc w:val="center"/>
        <w:rPr>
          <w:rFonts w:ascii="Times New Roman" w:hAnsi="Times New Roman" w:eastAsia="黑体"/>
          <w:color w:val="auto"/>
          <w:sz w:val="28"/>
          <w:szCs w:val="28"/>
        </w:rPr>
      </w:pPr>
      <w:r>
        <w:rPr>
          <w:rFonts w:ascii="Times New Roman" w:hAnsi="Times New Roman" w:eastAsia="黑体"/>
          <w:color w:val="auto"/>
          <w:sz w:val="20"/>
          <w:szCs w:val="20"/>
        </w:rPr>
        <w:br w:type="page"/>
      </w:r>
      <w:bookmarkStart w:id="175" w:name="_Toc18312_WPSOffice_Level1"/>
      <w:bookmarkStart w:id="176" w:name="_Toc25394_WPSOffice_Level1"/>
      <w:bookmarkStart w:id="177" w:name="_Toc30031_WPSOffice_Level1"/>
      <w:bookmarkStart w:id="178" w:name="_Toc1687_WPSOffice_Level1"/>
      <w:bookmarkStart w:id="179" w:name="_Toc2765_WPSOffice_Level1"/>
      <w:r>
        <w:rPr>
          <w:rFonts w:ascii="Times New Roman" w:hAnsi="Times New Roman" w:eastAsia="微软雅黑"/>
          <w:color w:val="auto"/>
          <w:sz w:val="44"/>
          <w:szCs w:val="44"/>
        </w:rPr>
        <w:t>一、报价函</w:t>
      </w:r>
      <w:bookmarkEnd w:id="175"/>
      <w:bookmarkEnd w:id="176"/>
      <w:bookmarkEnd w:id="177"/>
      <w:bookmarkEnd w:id="178"/>
      <w:bookmarkEnd w:id="179"/>
    </w:p>
    <w:p w14:paraId="30DE28F2">
      <w:pPr>
        <w:spacing w:line="500" w:lineRule="atLeast"/>
        <w:rPr>
          <w:rFonts w:ascii="Times New Roman" w:hAnsi="Times New Roman" w:eastAsia="仿宋_GB2312"/>
          <w:color w:val="auto"/>
          <w:sz w:val="24"/>
        </w:rPr>
      </w:pPr>
      <w:r>
        <w:rPr>
          <w:rFonts w:ascii="Times New Roman" w:hAnsi="Times New Roman" w:eastAsia="仿宋_GB2312"/>
          <w:color w:val="auto"/>
          <w:sz w:val="24"/>
        </w:rPr>
        <w:t xml:space="preserve"> </w:t>
      </w:r>
      <w:r>
        <w:rPr>
          <w:rFonts w:hint="eastAsia" w:ascii="Times New Roman" w:hAnsi="Times New Roman" w:eastAsia="仿宋_GB2312"/>
          <w:color w:val="auto"/>
          <w:sz w:val="24"/>
          <w:u w:val="single"/>
        </w:rPr>
        <w:t>深圳市安之联置业有限公司</w:t>
      </w:r>
      <w:r>
        <w:rPr>
          <w:rFonts w:ascii="Times New Roman" w:hAnsi="Times New Roman" w:eastAsia="仿宋_GB2312"/>
          <w:color w:val="auto"/>
          <w:sz w:val="24"/>
        </w:rPr>
        <w:t>：</w:t>
      </w:r>
    </w:p>
    <w:p w14:paraId="55D5A7A0">
      <w:pPr>
        <w:spacing w:line="400" w:lineRule="exact"/>
        <w:ind w:firstLine="480" w:firstLineChars="200"/>
        <w:rPr>
          <w:rFonts w:ascii="Times New Roman" w:hAnsi="Times New Roman" w:eastAsia="仿宋_GB2312"/>
          <w:color w:val="auto"/>
          <w:sz w:val="24"/>
        </w:rPr>
      </w:pPr>
      <w:r>
        <w:rPr>
          <w:rFonts w:ascii="Times New Roman" w:hAnsi="Times New Roman" w:eastAsia="仿宋_GB2312"/>
          <w:color w:val="auto"/>
          <w:sz w:val="24"/>
        </w:rPr>
        <w:t>1．我方已仔细研究了</w:t>
      </w:r>
      <w:r>
        <w:rPr>
          <w:rFonts w:ascii="Times New Roman" w:hAnsi="Times New Roman" w:eastAsia="仿宋_GB2312"/>
          <w:color w:val="auto"/>
          <w:sz w:val="24"/>
          <w:u w:val="single"/>
        </w:rPr>
        <w:t xml:space="preserve"> </w:t>
      </w:r>
      <w:r>
        <w:rPr>
          <w:rFonts w:hint="eastAsia" w:ascii="Times New Roman" w:hAnsi="Times New Roman" w:eastAsia="仿宋_GB2312"/>
          <w:color w:val="auto"/>
          <w:sz w:val="24"/>
          <w:u w:val="single"/>
        </w:rPr>
        <w:t>深圳安联尚璟府项目阶段性软装家装类框架采购（2025年度）</w:t>
      </w:r>
      <w:r>
        <w:rPr>
          <w:rFonts w:ascii="Times New Roman" w:hAnsi="Times New Roman" w:eastAsia="仿宋_GB2312"/>
          <w:color w:val="auto"/>
          <w:sz w:val="24"/>
          <w:u w:val="single"/>
        </w:rPr>
        <w:t xml:space="preserve"> </w:t>
      </w:r>
      <w:r>
        <w:rPr>
          <w:rFonts w:ascii="Times New Roman" w:hAnsi="Times New Roman" w:eastAsia="仿宋_GB2312"/>
          <w:color w:val="auto"/>
          <w:sz w:val="24"/>
        </w:rPr>
        <w:t>合同包询比文件的全部内容，愿意以人民币(大写)</w:t>
      </w:r>
      <w:r>
        <w:rPr>
          <w:rFonts w:ascii="Times New Roman" w:hAnsi="Times New Roman" w:eastAsia="仿宋_GB2312"/>
          <w:color w:val="auto"/>
          <w:sz w:val="24"/>
          <w:u w:val="single"/>
        </w:rPr>
        <w:t xml:space="preserve">     </w:t>
      </w:r>
      <w:r>
        <w:rPr>
          <w:rFonts w:ascii="Times New Roman" w:hAnsi="Times New Roman" w:eastAsia="仿宋_GB2312"/>
          <w:color w:val="auto"/>
          <w:sz w:val="24"/>
        </w:rPr>
        <w:t>元(小写：¥</w:t>
      </w:r>
      <w:r>
        <w:rPr>
          <w:rFonts w:ascii="Times New Roman" w:hAnsi="Times New Roman" w:eastAsia="仿宋_GB2312"/>
          <w:color w:val="auto"/>
          <w:sz w:val="24"/>
          <w:u w:val="single"/>
        </w:rPr>
        <w:t xml:space="preserve">       </w:t>
      </w:r>
      <w:r>
        <w:rPr>
          <w:rFonts w:ascii="Times New Roman" w:hAnsi="Times New Roman" w:eastAsia="仿宋_GB2312"/>
          <w:color w:val="auto"/>
          <w:sz w:val="24"/>
        </w:rPr>
        <w:t>)的含税总报价，其中，增值税税率</w:t>
      </w:r>
      <w:r>
        <w:rPr>
          <w:rFonts w:ascii="Times New Roman" w:hAnsi="Times New Roman" w:eastAsia="仿宋_GB2312"/>
          <w:color w:val="auto"/>
          <w:sz w:val="24"/>
          <w:u w:val="single"/>
        </w:rPr>
        <w:t xml:space="preserve">   </w:t>
      </w:r>
      <w:r>
        <w:rPr>
          <w:rFonts w:ascii="Times New Roman" w:hAnsi="Times New Roman" w:eastAsia="仿宋_GB2312"/>
          <w:color w:val="auto"/>
          <w:sz w:val="24"/>
        </w:rPr>
        <w:t>%，供货期</w:t>
      </w:r>
      <w:r>
        <w:rPr>
          <w:rFonts w:ascii="Times New Roman" w:hAnsi="Times New Roman" w:eastAsia="仿宋_GB2312"/>
          <w:color w:val="auto"/>
          <w:sz w:val="24"/>
          <w:u w:val="single"/>
        </w:rPr>
        <w:t>从</w:t>
      </w:r>
      <w:r>
        <w:rPr>
          <w:rFonts w:hint="eastAsia" w:ascii="Times New Roman" w:hAnsi="Times New Roman" w:eastAsia="仿宋_GB2312"/>
          <w:color w:val="auto"/>
          <w:sz w:val="24"/>
          <w:u w:val="single"/>
        </w:rPr>
        <w:t xml:space="preserve">           </w:t>
      </w:r>
      <w:r>
        <w:rPr>
          <w:rFonts w:ascii="Times New Roman" w:hAnsi="Times New Roman" w:eastAsia="仿宋_GB2312"/>
          <w:color w:val="auto"/>
          <w:sz w:val="24"/>
        </w:rPr>
        <w:t>，按合同约定实施和完成供货及提供相关服务，质量目标达到</w:t>
      </w:r>
      <w:r>
        <w:rPr>
          <w:rFonts w:ascii="Times New Roman" w:hAnsi="Times New Roman" w:eastAsia="仿宋_GB2312"/>
          <w:color w:val="auto"/>
          <w:sz w:val="24"/>
          <w:u w:val="single"/>
        </w:rPr>
        <w:t xml:space="preserve"> </w:t>
      </w:r>
      <w:r>
        <w:rPr>
          <w:rFonts w:hint="eastAsia" w:ascii="Times New Roman" w:hAnsi="Times New Roman" w:eastAsia="仿宋_GB2312"/>
          <w:color w:val="auto"/>
          <w:sz w:val="24"/>
          <w:u w:val="single"/>
        </w:rPr>
        <w:t xml:space="preserve">    </w:t>
      </w:r>
      <w:r>
        <w:rPr>
          <w:rFonts w:ascii="Times New Roman" w:hAnsi="Times New Roman" w:eastAsia="仿宋_GB2312"/>
          <w:color w:val="auto"/>
          <w:sz w:val="24"/>
          <w:u w:val="single"/>
        </w:rPr>
        <w:t xml:space="preserve"> </w:t>
      </w:r>
      <w:r>
        <w:rPr>
          <w:rFonts w:ascii="Times New Roman" w:hAnsi="Times New Roman" w:eastAsia="仿宋_GB2312"/>
          <w:color w:val="auto"/>
          <w:sz w:val="24"/>
        </w:rPr>
        <w:t>，安全目标达到</w:t>
      </w:r>
      <w:r>
        <w:rPr>
          <w:rFonts w:ascii="Times New Roman" w:hAnsi="Times New Roman" w:eastAsia="仿宋_GB2312"/>
          <w:color w:val="auto"/>
          <w:sz w:val="24"/>
          <w:u w:val="single"/>
        </w:rPr>
        <w:t xml:space="preserve"> </w:t>
      </w:r>
      <w:r>
        <w:rPr>
          <w:rFonts w:hint="eastAsia" w:ascii="Times New Roman" w:hAnsi="Times New Roman" w:eastAsia="仿宋_GB2312"/>
          <w:color w:val="auto"/>
          <w:sz w:val="24"/>
          <w:u w:val="single"/>
        </w:rPr>
        <w:t xml:space="preserve">    </w:t>
      </w:r>
      <w:r>
        <w:rPr>
          <w:rFonts w:ascii="Times New Roman" w:hAnsi="Times New Roman" w:eastAsia="仿宋_GB2312"/>
          <w:color w:val="auto"/>
          <w:sz w:val="24"/>
          <w:u w:val="single"/>
        </w:rPr>
        <w:t xml:space="preserve"> </w:t>
      </w:r>
      <w:r>
        <w:rPr>
          <w:rFonts w:ascii="Times New Roman" w:hAnsi="Times New Roman" w:eastAsia="仿宋_GB2312"/>
          <w:color w:val="auto"/>
          <w:sz w:val="24"/>
        </w:rPr>
        <w:t>。</w:t>
      </w:r>
    </w:p>
    <w:p w14:paraId="008C8B8E">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2．我方承诺在响应有效期内不修改、撤销响应文件。</w:t>
      </w:r>
    </w:p>
    <w:p w14:paraId="2AD285AD">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3．如我方成交：</w:t>
      </w:r>
    </w:p>
    <w:p w14:paraId="695F1570">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(1)我方承诺在收到成交通知书后，在成交通知书规定的期限内与你方签订合同。</w:t>
      </w:r>
    </w:p>
    <w:p w14:paraId="7FC65BFD">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(2)我方承诺按照询比文件规定向你方递交履约担保。</w:t>
      </w:r>
    </w:p>
    <w:p w14:paraId="77C3E973">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(3)我方承诺在合同约定的期限内完成全部合同任务。</w:t>
      </w:r>
    </w:p>
    <w:p w14:paraId="31DFDA63">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4．我方在此声明，所递交的响应文件及有关资料内容完整、真实和准确。</w:t>
      </w:r>
    </w:p>
    <w:p w14:paraId="73C9DA4F">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5．在合同协议书正式签署生效之前，本报价函连同你方的成交通知书将构成我们双方之间共同遵守的文件，对双方具有约束力。</w:t>
      </w:r>
    </w:p>
    <w:p w14:paraId="21C8FA71">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6．我方理解，你方不一定接受任何报价。同时也理解，你方不负担我方的任何报价费用。</w:t>
      </w:r>
    </w:p>
    <w:p w14:paraId="363C90B3">
      <w:pPr>
        <w:spacing w:line="500" w:lineRule="atLeast"/>
        <w:ind w:firstLine="3420" w:firstLineChars="1425"/>
        <w:rPr>
          <w:rFonts w:ascii="Times New Roman" w:hAnsi="Times New Roman" w:eastAsia="仿宋_GB2312"/>
          <w:color w:val="auto"/>
          <w:sz w:val="24"/>
        </w:rPr>
      </w:pPr>
    </w:p>
    <w:p w14:paraId="4C880016">
      <w:pPr>
        <w:spacing w:line="500" w:lineRule="atLeast"/>
        <w:ind w:firstLine="3420" w:firstLineChars="1425"/>
        <w:rPr>
          <w:rFonts w:ascii="Times New Roman" w:hAnsi="Times New Roman" w:eastAsia="仿宋_GB2312"/>
          <w:color w:val="auto"/>
          <w:sz w:val="24"/>
        </w:rPr>
      </w:pPr>
    </w:p>
    <w:p w14:paraId="18783CC3">
      <w:pPr>
        <w:spacing w:line="500" w:lineRule="atLeast"/>
        <w:ind w:firstLine="3420" w:firstLineChars="1425"/>
        <w:rPr>
          <w:rFonts w:ascii="Times New Roman" w:hAnsi="Times New Roman" w:eastAsia="仿宋_GB2312"/>
          <w:color w:val="auto"/>
          <w:sz w:val="24"/>
        </w:rPr>
      </w:pPr>
    </w:p>
    <w:p w14:paraId="57BFC67A">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供应商：</w:t>
      </w:r>
      <w:r>
        <w:rPr>
          <w:rFonts w:ascii="Times New Roman" w:hAnsi="Times New Roman" w:eastAsia="仿宋_GB2312"/>
          <w:color w:val="auto"/>
          <w:sz w:val="24"/>
          <w:u w:val="single"/>
        </w:rPr>
        <w:t xml:space="preserve">                     </w:t>
      </w:r>
      <w:r>
        <w:rPr>
          <w:rFonts w:ascii="Times New Roman" w:hAnsi="Times New Roman" w:eastAsia="仿宋_GB2312"/>
          <w:color w:val="auto"/>
          <w:sz w:val="24"/>
        </w:rPr>
        <w:t>(盖单位章)</w:t>
      </w:r>
    </w:p>
    <w:p w14:paraId="732E14A7">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法定代表人或委托代理人：</w:t>
      </w:r>
      <w:r>
        <w:rPr>
          <w:rFonts w:ascii="Times New Roman" w:hAnsi="Times New Roman" w:eastAsia="仿宋_GB2312"/>
          <w:color w:val="auto"/>
          <w:sz w:val="24"/>
          <w:u w:val="single"/>
        </w:rPr>
        <w:t xml:space="preserve">        </w:t>
      </w:r>
      <w:r>
        <w:rPr>
          <w:rFonts w:ascii="Times New Roman" w:hAnsi="Times New Roman" w:eastAsia="仿宋_GB2312"/>
          <w:color w:val="auto"/>
          <w:sz w:val="24"/>
        </w:rPr>
        <w:t>(签名)</w:t>
      </w:r>
    </w:p>
    <w:p w14:paraId="49DB3ECE">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地址：</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w:t>
      </w:r>
    </w:p>
    <w:p w14:paraId="7B0553A7">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网址：</w:t>
      </w:r>
      <w:r>
        <w:rPr>
          <w:rFonts w:ascii="Times New Roman" w:hAnsi="Times New Roman" w:eastAsia="仿宋_GB2312"/>
          <w:color w:val="auto"/>
          <w:sz w:val="24"/>
          <w:u w:val="single"/>
        </w:rPr>
        <w:t xml:space="preserve">                                     </w:t>
      </w:r>
    </w:p>
    <w:p w14:paraId="16672050">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电话：</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w:t>
      </w:r>
    </w:p>
    <w:p w14:paraId="0D4F4D3F">
      <w:pPr>
        <w:spacing w:line="500" w:lineRule="atLeast"/>
        <w:ind w:firstLine="3420" w:firstLineChars="1425"/>
        <w:rPr>
          <w:rFonts w:ascii="Times New Roman" w:hAnsi="Times New Roman" w:eastAsia="仿宋_GB2312"/>
          <w:color w:val="auto"/>
          <w:sz w:val="24"/>
        </w:rPr>
      </w:pPr>
      <w:r>
        <w:rPr>
          <w:rFonts w:ascii="Times New Roman" w:hAnsi="Times New Roman" w:eastAsia="仿宋_GB2312"/>
          <w:color w:val="auto"/>
          <w:sz w:val="24"/>
        </w:rPr>
        <w:t>电子邮箱：</w:t>
      </w:r>
      <w:r>
        <w:rPr>
          <w:rFonts w:ascii="Times New Roman" w:hAnsi="Times New Roman" w:eastAsia="仿宋_GB2312"/>
          <w:color w:val="auto"/>
          <w:sz w:val="24"/>
          <w:u w:val="single"/>
        </w:rPr>
        <w:t xml:space="preserve">                                  </w:t>
      </w:r>
    </w:p>
    <w:p w14:paraId="3653157F">
      <w:pPr>
        <w:spacing w:line="500" w:lineRule="atLeast"/>
        <w:ind w:firstLine="4740" w:firstLineChars="1975"/>
        <w:rPr>
          <w:rFonts w:ascii="Times New Roman" w:hAnsi="Times New Roman" w:eastAsia="仿宋_GB2312"/>
          <w:color w:val="auto"/>
          <w:sz w:val="24"/>
        </w:rPr>
      </w:pPr>
      <w:r>
        <w:rPr>
          <w:rFonts w:ascii="Times New Roman" w:hAnsi="Times New Roman" w:eastAsia="仿宋_GB2312"/>
          <w:color w:val="auto"/>
          <w:sz w:val="24"/>
          <w:u w:val="single"/>
        </w:rPr>
        <w:t xml:space="preserve">       </w:t>
      </w:r>
      <w:r>
        <w:rPr>
          <w:rFonts w:ascii="Times New Roman" w:hAnsi="Times New Roman" w:eastAsia="仿宋_GB2312"/>
          <w:color w:val="auto"/>
          <w:sz w:val="24"/>
        </w:rPr>
        <w:t>年</w:t>
      </w:r>
      <w:r>
        <w:rPr>
          <w:rFonts w:ascii="Times New Roman" w:hAnsi="Times New Roman" w:eastAsia="仿宋_GB2312"/>
          <w:color w:val="auto"/>
          <w:sz w:val="24"/>
          <w:u w:val="single"/>
        </w:rPr>
        <w:t xml:space="preserve">      </w:t>
      </w:r>
      <w:r>
        <w:rPr>
          <w:rFonts w:ascii="Times New Roman" w:hAnsi="Times New Roman" w:eastAsia="仿宋_GB2312"/>
          <w:color w:val="auto"/>
          <w:sz w:val="24"/>
        </w:rPr>
        <w:t>月</w:t>
      </w:r>
      <w:r>
        <w:rPr>
          <w:rFonts w:ascii="Times New Roman" w:hAnsi="Times New Roman" w:eastAsia="仿宋_GB2312"/>
          <w:color w:val="auto"/>
          <w:sz w:val="24"/>
          <w:u w:val="single"/>
        </w:rPr>
        <w:t xml:space="preserve">       </w:t>
      </w:r>
      <w:r>
        <w:rPr>
          <w:rFonts w:ascii="Times New Roman" w:hAnsi="Times New Roman" w:eastAsia="仿宋_GB2312"/>
          <w:color w:val="auto"/>
          <w:sz w:val="24"/>
        </w:rPr>
        <w:t>日</w:t>
      </w:r>
    </w:p>
    <w:p w14:paraId="2C6C780A">
      <w:pPr>
        <w:spacing w:line="600" w:lineRule="exact"/>
        <w:jc w:val="center"/>
        <w:rPr>
          <w:rFonts w:ascii="Times New Roman" w:hAnsi="Times New Roman" w:eastAsia="微软雅黑"/>
          <w:color w:val="auto"/>
          <w:sz w:val="44"/>
          <w:szCs w:val="44"/>
        </w:rPr>
        <w:sectPr>
          <w:footerReference r:id="rId12" w:type="default"/>
          <w:footnotePr>
            <w:numFmt w:val="decimalEnclosedCircleChinese"/>
          </w:footnotePr>
          <w:pgSz w:w="11906" w:h="16838"/>
          <w:pgMar w:top="1440" w:right="1797" w:bottom="1440" w:left="1797" w:header="851" w:footer="992" w:gutter="0"/>
          <w:cols w:space="720" w:num="1"/>
          <w:docGrid w:type="linesAndChars" w:linePitch="312" w:charSpace="0"/>
        </w:sectPr>
      </w:pPr>
      <w:bookmarkStart w:id="180" w:name="_Toc32350_WPSOffice_Level1"/>
      <w:bookmarkStart w:id="181" w:name="_Toc18668_WPSOffice_Level1"/>
      <w:bookmarkStart w:id="182" w:name="_Toc8695_WPSOffice_Level1"/>
      <w:bookmarkStart w:id="183" w:name="_Toc12530_WPSOffice_Level1"/>
      <w:bookmarkStart w:id="184" w:name="_Toc14563_WPSOffice_Level1"/>
    </w:p>
    <w:p w14:paraId="5845D55F">
      <w:pPr>
        <w:spacing w:line="600" w:lineRule="exact"/>
        <w:jc w:val="center"/>
        <w:rPr>
          <w:rFonts w:ascii="Times New Roman" w:hAnsi="Times New Roman" w:eastAsia="微软雅黑"/>
          <w:color w:val="auto"/>
          <w:sz w:val="44"/>
          <w:szCs w:val="44"/>
        </w:rPr>
      </w:pPr>
      <w:r>
        <w:rPr>
          <w:rFonts w:ascii="Times New Roman" w:hAnsi="Times New Roman" w:eastAsia="微软雅黑"/>
          <w:color w:val="auto"/>
          <w:sz w:val="44"/>
          <w:szCs w:val="44"/>
        </w:rPr>
        <w:t>二、法定代表人身份证明及授权委托书</w:t>
      </w:r>
      <w:bookmarkEnd w:id="180"/>
      <w:bookmarkEnd w:id="181"/>
      <w:bookmarkEnd w:id="182"/>
      <w:bookmarkEnd w:id="183"/>
      <w:bookmarkEnd w:id="184"/>
    </w:p>
    <w:p w14:paraId="0A179121">
      <w:pPr>
        <w:spacing w:line="500" w:lineRule="atLeast"/>
        <w:rPr>
          <w:rFonts w:ascii="Times New Roman" w:hAnsi="Times New Roman"/>
          <w:color w:val="auto"/>
          <w:sz w:val="20"/>
          <w:szCs w:val="20"/>
        </w:rPr>
      </w:pPr>
    </w:p>
    <w:p w14:paraId="45275CE1">
      <w:pPr>
        <w:spacing w:line="500" w:lineRule="atLeast"/>
        <w:jc w:val="center"/>
        <w:rPr>
          <w:rFonts w:ascii="Times New Roman" w:hAnsi="Times New Roman" w:eastAsia="黑体"/>
          <w:color w:val="auto"/>
          <w:sz w:val="32"/>
          <w:szCs w:val="32"/>
        </w:rPr>
      </w:pPr>
      <w:bookmarkStart w:id="185" w:name="_Toc20803_WPSOffice_Level2"/>
      <w:bookmarkStart w:id="186" w:name="_Toc5153_WPSOffice_Level2"/>
      <w:r>
        <w:rPr>
          <w:rFonts w:ascii="Times New Roman" w:hAnsi="Times New Roman" w:eastAsia="黑体"/>
          <w:bCs/>
          <w:color w:val="auto"/>
          <w:sz w:val="32"/>
          <w:szCs w:val="32"/>
        </w:rPr>
        <w:t>2-1 法定代表人身份证明</w:t>
      </w:r>
      <w:bookmarkEnd w:id="185"/>
      <w:bookmarkEnd w:id="186"/>
    </w:p>
    <w:p w14:paraId="1222FEEE">
      <w:pPr>
        <w:spacing w:line="500" w:lineRule="atLeast"/>
        <w:rPr>
          <w:rFonts w:ascii="Times New Roman" w:hAnsi="Times New Roman"/>
          <w:color w:val="auto"/>
          <w:sz w:val="20"/>
          <w:szCs w:val="20"/>
        </w:rPr>
      </w:pPr>
    </w:p>
    <w:p w14:paraId="639AA61C">
      <w:pPr>
        <w:spacing w:line="500" w:lineRule="atLeast"/>
        <w:rPr>
          <w:rFonts w:ascii="Times New Roman" w:hAnsi="Times New Roman" w:eastAsia="仿宋_GB2312"/>
          <w:color w:val="auto"/>
          <w:sz w:val="24"/>
        </w:rPr>
      </w:pPr>
      <w:r>
        <w:rPr>
          <w:rFonts w:ascii="Times New Roman" w:hAnsi="Times New Roman" w:eastAsia="仿宋_GB2312"/>
          <w:color w:val="auto"/>
          <w:sz w:val="24"/>
        </w:rPr>
        <w:t>供应商名称：</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w:t>
      </w:r>
    </w:p>
    <w:p w14:paraId="3EE35C1C">
      <w:pPr>
        <w:spacing w:line="500" w:lineRule="atLeast"/>
        <w:rPr>
          <w:rFonts w:ascii="Times New Roman" w:hAnsi="Times New Roman" w:eastAsia="仿宋_GB2312"/>
          <w:color w:val="auto"/>
          <w:sz w:val="24"/>
        </w:rPr>
      </w:pPr>
      <w:r>
        <w:rPr>
          <w:rFonts w:ascii="Times New Roman" w:hAnsi="Times New Roman" w:eastAsia="仿宋_GB2312"/>
          <w:color w:val="auto"/>
          <w:sz w:val="24"/>
        </w:rPr>
        <w:t>单位性质：</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w:t>
      </w:r>
    </w:p>
    <w:p w14:paraId="33517324">
      <w:pPr>
        <w:spacing w:line="500" w:lineRule="atLeast"/>
        <w:rPr>
          <w:rFonts w:ascii="Times New Roman" w:hAnsi="Times New Roman" w:eastAsia="仿宋_GB2312"/>
          <w:color w:val="auto"/>
          <w:sz w:val="24"/>
        </w:rPr>
      </w:pPr>
      <w:r>
        <w:rPr>
          <w:rFonts w:ascii="Times New Roman" w:hAnsi="Times New Roman" w:eastAsia="仿宋_GB2312"/>
          <w:color w:val="auto"/>
          <w:sz w:val="24"/>
        </w:rPr>
        <w:t>地址：</w:t>
      </w:r>
      <w:r>
        <w:rPr>
          <w:rFonts w:ascii="Times New Roman" w:hAnsi="Times New Roman" w:eastAsia="仿宋_GB2312"/>
          <w:color w:val="auto"/>
          <w:sz w:val="24"/>
          <w:u w:val="single"/>
        </w:rPr>
        <w:t xml:space="preserve">                                   </w:t>
      </w:r>
    </w:p>
    <w:p w14:paraId="56BB052B">
      <w:pPr>
        <w:spacing w:line="500" w:lineRule="atLeast"/>
        <w:rPr>
          <w:rFonts w:ascii="Times New Roman" w:hAnsi="Times New Roman" w:eastAsia="仿宋_GB2312"/>
          <w:color w:val="auto"/>
          <w:sz w:val="24"/>
        </w:rPr>
      </w:pPr>
      <w:r>
        <w:rPr>
          <w:rFonts w:ascii="Times New Roman" w:hAnsi="Times New Roman" w:eastAsia="仿宋_GB2312"/>
          <w:color w:val="auto"/>
          <w:sz w:val="24"/>
        </w:rPr>
        <w:t>成立时间：</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年</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月</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日</w:t>
      </w:r>
    </w:p>
    <w:p w14:paraId="5FC21B56">
      <w:pPr>
        <w:spacing w:line="500" w:lineRule="atLeast"/>
        <w:rPr>
          <w:rFonts w:ascii="Times New Roman" w:hAnsi="Times New Roman" w:eastAsia="仿宋_GB2312"/>
          <w:color w:val="auto"/>
          <w:sz w:val="24"/>
        </w:rPr>
      </w:pPr>
      <w:r>
        <w:rPr>
          <w:rFonts w:ascii="Times New Roman" w:hAnsi="Times New Roman" w:eastAsia="仿宋_GB2312"/>
          <w:color w:val="auto"/>
          <w:sz w:val="24"/>
        </w:rPr>
        <w:t>经营期限：</w:t>
      </w:r>
      <w:r>
        <w:rPr>
          <w:rFonts w:ascii="Times New Roman" w:hAnsi="Times New Roman" w:eastAsia="仿宋_GB2312"/>
          <w:color w:val="auto"/>
          <w:sz w:val="24"/>
          <w:u w:val="single"/>
        </w:rPr>
        <w:t xml:space="preserve">                               </w:t>
      </w:r>
    </w:p>
    <w:p w14:paraId="349F8E7B">
      <w:pPr>
        <w:spacing w:line="500" w:lineRule="atLeast"/>
        <w:rPr>
          <w:rFonts w:ascii="Times New Roman" w:hAnsi="Times New Roman" w:eastAsia="仿宋_GB2312"/>
          <w:color w:val="auto"/>
          <w:sz w:val="24"/>
        </w:rPr>
      </w:pPr>
      <w:r>
        <w:rPr>
          <w:rFonts w:ascii="Times New Roman" w:hAnsi="Times New Roman" w:eastAsia="仿宋_GB2312"/>
          <w:color w:val="auto"/>
          <w:sz w:val="24"/>
        </w:rPr>
        <w:t>姓名：</w:t>
      </w:r>
      <w:r>
        <w:rPr>
          <w:rFonts w:ascii="Times New Roman" w:hAnsi="Times New Roman" w:eastAsia="仿宋_GB2312"/>
          <w:color w:val="auto"/>
          <w:sz w:val="24"/>
          <w:u w:val="single"/>
        </w:rPr>
        <w:t xml:space="preserve">  </w:t>
      </w:r>
      <w:r>
        <w:rPr>
          <w:rFonts w:ascii="Times New Roman" w:hAnsi="Times New Roman" w:eastAsia="仿宋_GB2312"/>
          <w:bCs/>
          <w:color w:val="auto"/>
          <w:sz w:val="24"/>
          <w:u w:val="single"/>
        </w:rPr>
        <w:t xml:space="preserve">                </w:t>
      </w:r>
      <w:r>
        <w:rPr>
          <w:rFonts w:ascii="Times New Roman" w:hAnsi="Times New Roman" w:eastAsia="仿宋_GB2312"/>
          <w:color w:val="auto"/>
          <w:sz w:val="24"/>
        </w:rPr>
        <w:t xml:space="preserve"> 性别：</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年龄：</w:t>
      </w:r>
      <w:r>
        <w:rPr>
          <w:rFonts w:ascii="Times New Roman" w:hAnsi="Times New Roman" w:eastAsia="仿宋_GB2312"/>
          <w:color w:val="auto"/>
          <w:sz w:val="24"/>
          <w:u w:val="single"/>
        </w:rPr>
        <w:t xml:space="preserve">        </w:t>
      </w:r>
      <w:r>
        <w:rPr>
          <w:rFonts w:ascii="Times New Roman" w:hAnsi="Times New Roman" w:eastAsia="仿宋_GB2312"/>
          <w:color w:val="auto"/>
          <w:sz w:val="24"/>
        </w:rPr>
        <w:t>职务：</w:t>
      </w:r>
      <w:r>
        <w:rPr>
          <w:rFonts w:ascii="Times New Roman" w:hAnsi="Times New Roman" w:eastAsia="仿宋_GB2312"/>
          <w:color w:val="auto"/>
          <w:sz w:val="24"/>
          <w:u w:val="single"/>
        </w:rPr>
        <w:t xml:space="preserve">        </w:t>
      </w:r>
    </w:p>
    <w:p w14:paraId="6829CF29">
      <w:pPr>
        <w:spacing w:line="500" w:lineRule="atLeast"/>
        <w:rPr>
          <w:rFonts w:ascii="Times New Roman" w:hAnsi="Times New Roman" w:eastAsia="仿宋_GB2312"/>
          <w:color w:val="auto"/>
          <w:sz w:val="24"/>
        </w:rPr>
      </w:pPr>
      <w:r>
        <w:rPr>
          <w:rFonts w:ascii="Times New Roman" w:hAnsi="Times New Roman" w:eastAsia="仿宋_GB2312"/>
          <w:color w:val="auto"/>
          <w:sz w:val="24"/>
        </w:rPr>
        <w:t>系</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(供应商名称)的法定代表人。</w:t>
      </w:r>
    </w:p>
    <w:p w14:paraId="26FD46DD">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附：法定代表人身份证正反面复印件</w:t>
      </w:r>
    </w:p>
    <w:p w14:paraId="5D94667F">
      <w:pPr>
        <w:spacing w:line="500" w:lineRule="atLeast"/>
        <w:ind w:firstLine="480" w:firstLineChars="200"/>
        <w:rPr>
          <w:rFonts w:ascii="Times New Roman" w:hAnsi="Times New Roman" w:eastAsia="仿宋_GB2312"/>
          <w:color w:val="auto"/>
          <w:sz w:val="24"/>
        </w:rPr>
      </w:pPr>
    </w:p>
    <w:p w14:paraId="212D0AA7">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特此证明。</w:t>
      </w:r>
    </w:p>
    <w:p w14:paraId="57FE6D73">
      <w:pPr>
        <w:spacing w:line="500" w:lineRule="atLeast"/>
        <w:rPr>
          <w:rFonts w:ascii="Times New Roman" w:hAnsi="Times New Roman" w:eastAsia="仿宋_GB2312"/>
          <w:color w:val="auto"/>
          <w:sz w:val="24"/>
        </w:rPr>
      </w:pPr>
    </w:p>
    <w:p w14:paraId="56B9CB3D">
      <w:pPr>
        <w:spacing w:line="500" w:lineRule="atLeast"/>
        <w:rPr>
          <w:rFonts w:ascii="Times New Roman" w:hAnsi="Times New Roman" w:eastAsia="仿宋_GB2312"/>
          <w:color w:val="auto"/>
          <w:sz w:val="24"/>
        </w:rPr>
      </w:pPr>
    </w:p>
    <w:p w14:paraId="30B6C3AB">
      <w:pPr>
        <w:spacing w:line="500" w:lineRule="atLeast"/>
        <w:rPr>
          <w:rFonts w:ascii="Times New Roman" w:hAnsi="Times New Roman" w:eastAsia="仿宋_GB2312"/>
          <w:color w:val="auto"/>
          <w:sz w:val="24"/>
        </w:rPr>
      </w:pPr>
      <w:r>
        <w:rPr>
          <w:rFonts w:ascii="Times New Roman" w:hAnsi="Times New Roman" w:eastAsia="仿宋_GB2312"/>
          <w:color w:val="auto"/>
          <w:sz w:val="24"/>
        </w:rPr>
        <w:t xml:space="preserve">                          供应商：</w:t>
      </w:r>
      <w:r>
        <w:rPr>
          <w:rFonts w:ascii="Times New Roman" w:hAnsi="Times New Roman" w:eastAsia="仿宋_GB2312"/>
          <w:color w:val="auto"/>
          <w:sz w:val="24"/>
          <w:u w:val="single"/>
        </w:rPr>
        <w:t xml:space="preserve">                 </w:t>
      </w:r>
      <w:r>
        <w:rPr>
          <w:rFonts w:ascii="Times New Roman" w:hAnsi="Times New Roman" w:eastAsia="仿宋_GB2312"/>
          <w:color w:val="auto"/>
          <w:sz w:val="24"/>
        </w:rPr>
        <w:t>(盖单位章)</w:t>
      </w:r>
    </w:p>
    <w:p w14:paraId="6E7D4F29">
      <w:pPr>
        <w:spacing w:line="440" w:lineRule="exact"/>
        <w:rPr>
          <w:rFonts w:ascii="Times New Roman" w:hAnsi="Times New Roman"/>
          <w:color w:val="auto"/>
          <w:sz w:val="24"/>
        </w:rPr>
      </w:pPr>
      <w:r>
        <w:rPr>
          <w:rFonts w:ascii="Times New Roman" w:hAnsi="Times New Roman" w:eastAsia="仿宋_GB2312"/>
          <w:color w:val="auto"/>
          <w:sz w:val="24"/>
        </w:rPr>
        <w:t xml:space="preserve">                                </w:t>
      </w:r>
      <w:r>
        <w:rPr>
          <w:rFonts w:ascii="Times New Roman" w:hAnsi="Times New Roman" w:eastAsia="仿宋_GB2312"/>
          <w:color w:val="auto"/>
          <w:sz w:val="24"/>
          <w:u w:val="single"/>
        </w:rPr>
        <w:t xml:space="preserve">         </w:t>
      </w:r>
      <w:r>
        <w:rPr>
          <w:rFonts w:ascii="Times New Roman" w:hAnsi="Times New Roman" w:eastAsia="仿宋_GB2312"/>
          <w:color w:val="auto"/>
          <w:sz w:val="24"/>
        </w:rPr>
        <w:t>年</w:t>
      </w:r>
      <w:r>
        <w:rPr>
          <w:rFonts w:ascii="Times New Roman" w:hAnsi="Times New Roman" w:eastAsia="仿宋_GB2312"/>
          <w:color w:val="auto"/>
          <w:sz w:val="24"/>
          <w:u w:val="single"/>
        </w:rPr>
        <w:t xml:space="preserve">      </w:t>
      </w:r>
      <w:r>
        <w:rPr>
          <w:rFonts w:ascii="Times New Roman" w:hAnsi="Times New Roman" w:eastAsia="仿宋_GB2312"/>
          <w:color w:val="auto"/>
          <w:sz w:val="24"/>
        </w:rPr>
        <w:t>月</w:t>
      </w: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 日    </w:t>
      </w:r>
      <w:r>
        <w:rPr>
          <w:rFonts w:ascii="Times New Roman" w:hAnsi="Times New Roman"/>
          <w:color w:val="auto"/>
          <w:sz w:val="24"/>
        </w:rPr>
        <w:t xml:space="preserve">       </w:t>
      </w:r>
    </w:p>
    <w:p w14:paraId="5852C224">
      <w:pPr>
        <w:topLinePunct/>
        <w:spacing w:line="440" w:lineRule="exact"/>
        <w:rPr>
          <w:rFonts w:ascii="Times New Roman" w:hAnsi="Times New Roman" w:eastAsia="黑体"/>
          <w:color w:val="auto"/>
          <w:sz w:val="24"/>
        </w:rPr>
      </w:pPr>
    </w:p>
    <w:p w14:paraId="79EECECB">
      <w:pPr>
        <w:topLinePunct/>
        <w:spacing w:line="440" w:lineRule="exact"/>
        <w:rPr>
          <w:rFonts w:ascii="Times New Roman" w:hAnsi="Times New Roman" w:eastAsia="黑体"/>
          <w:color w:val="auto"/>
          <w:sz w:val="24"/>
        </w:rPr>
      </w:pPr>
    </w:p>
    <w:p w14:paraId="59803B47">
      <w:pPr>
        <w:topLinePunct/>
        <w:spacing w:line="440" w:lineRule="exact"/>
        <w:rPr>
          <w:rFonts w:ascii="Times New Roman" w:hAnsi="Times New Roman" w:eastAsia="黑体"/>
          <w:color w:val="auto"/>
          <w:sz w:val="24"/>
        </w:rPr>
      </w:pPr>
    </w:p>
    <w:p w14:paraId="276F049C">
      <w:pPr>
        <w:topLinePunct/>
        <w:spacing w:line="440" w:lineRule="exact"/>
        <w:rPr>
          <w:rFonts w:ascii="Times New Roman" w:hAnsi="Times New Roman" w:eastAsia="黑体"/>
          <w:color w:val="auto"/>
          <w:sz w:val="24"/>
        </w:rPr>
      </w:pPr>
    </w:p>
    <w:p w14:paraId="6910AB23">
      <w:pPr>
        <w:topLinePunct/>
        <w:spacing w:line="440" w:lineRule="exact"/>
        <w:rPr>
          <w:rFonts w:ascii="Times New Roman" w:hAnsi="Times New Roman" w:eastAsia="黑体"/>
          <w:color w:val="auto"/>
          <w:sz w:val="24"/>
        </w:rPr>
      </w:pPr>
    </w:p>
    <w:p w14:paraId="3F824F15">
      <w:pPr>
        <w:topLinePunct/>
        <w:spacing w:line="440" w:lineRule="exact"/>
        <w:ind w:left="315" w:hanging="315" w:hangingChars="150"/>
        <w:rPr>
          <w:rFonts w:ascii="Times New Roman" w:hAnsi="Times New Roman" w:eastAsia="黑体"/>
          <w:color w:val="auto"/>
          <w:szCs w:val="21"/>
        </w:rPr>
      </w:pPr>
    </w:p>
    <w:p w14:paraId="0520ABA7">
      <w:pPr>
        <w:topLinePunct/>
        <w:spacing w:line="440" w:lineRule="exact"/>
        <w:ind w:left="315" w:hanging="315" w:hangingChars="150"/>
        <w:rPr>
          <w:rFonts w:ascii="Times New Roman" w:hAnsi="Times New Roman" w:eastAsia="黑体"/>
          <w:bCs/>
          <w:color w:val="auto"/>
          <w:szCs w:val="21"/>
        </w:rPr>
      </w:pPr>
    </w:p>
    <w:p w14:paraId="5165E309">
      <w:pPr>
        <w:spacing w:line="500" w:lineRule="atLeast"/>
        <w:jc w:val="center"/>
        <w:rPr>
          <w:rFonts w:ascii="Times New Roman" w:hAnsi="Times New Roman" w:eastAsia="黑体"/>
          <w:color w:val="auto"/>
          <w:sz w:val="32"/>
          <w:szCs w:val="32"/>
        </w:rPr>
      </w:pPr>
      <w:r>
        <w:rPr>
          <w:rFonts w:ascii="Times New Roman" w:hAnsi="Times New Roman" w:eastAsia="黑体"/>
          <w:color w:val="auto"/>
          <w:sz w:val="24"/>
        </w:rPr>
        <w:br w:type="page"/>
      </w:r>
      <w:bookmarkStart w:id="187" w:name="_Toc19768_WPSOffice_Level2"/>
      <w:bookmarkStart w:id="188" w:name="_Toc12035_WPSOffice_Level2"/>
      <w:r>
        <w:rPr>
          <w:rFonts w:ascii="Times New Roman" w:hAnsi="Times New Roman" w:eastAsia="黑体"/>
          <w:bCs/>
          <w:color w:val="auto"/>
          <w:sz w:val="32"/>
          <w:szCs w:val="32"/>
        </w:rPr>
        <w:t xml:space="preserve">2-2 </w:t>
      </w:r>
      <w:r>
        <w:rPr>
          <w:rFonts w:ascii="Times New Roman" w:hAnsi="Times New Roman" w:eastAsia="黑体"/>
          <w:color w:val="auto"/>
          <w:sz w:val="32"/>
          <w:szCs w:val="32"/>
        </w:rPr>
        <w:t>授权委托书</w:t>
      </w:r>
      <w:bookmarkEnd w:id="187"/>
      <w:bookmarkEnd w:id="188"/>
    </w:p>
    <w:p w14:paraId="4CC3A10B">
      <w:pPr>
        <w:spacing w:line="500" w:lineRule="atLeast"/>
        <w:rPr>
          <w:rFonts w:ascii="Times New Roman" w:hAnsi="Times New Roman" w:eastAsia="黑体"/>
          <w:color w:val="auto"/>
          <w:sz w:val="24"/>
        </w:rPr>
      </w:pPr>
    </w:p>
    <w:p w14:paraId="0805F57F">
      <w:pPr>
        <w:topLinePunct/>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本人</w:t>
      </w:r>
      <w:r>
        <w:rPr>
          <w:rFonts w:ascii="Times New Roman" w:hAnsi="Times New Roman" w:eastAsia="仿宋_GB2312"/>
          <w:color w:val="auto"/>
          <w:sz w:val="24"/>
          <w:u w:val="single"/>
        </w:rPr>
        <w:t xml:space="preserve">             </w:t>
      </w:r>
      <w:r>
        <w:rPr>
          <w:rFonts w:ascii="Times New Roman" w:hAnsi="Times New Roman" w:eastAsia="仿宋_GB2312"/>
          <w:color w:val="auto"/>
          <w:sz w:val="24"/>
        </w:rPr>
        <w:t>(姓名)系</w:t>
      </w:r>
      <w:r>
        <w:rPr>
          <w:rFonts w:ascii="Times New Roman" w:hAnsi="Times New Roman" w:eastAsia="仿宋_GB2312"/>
          <w:color w:val="auto"/>
          <w:sz w:val="24"/>
          <w:u w:val="single"/>
        </w:rPr>
        <w:t xml:space="preserve">          </w:t>
      </w:r>
      <w:r>
        <w:rPr>
          <w:rFonts w:ascii="Times New Roman" w:hAnsi="Times New Roman" w:eastAsia="仿宋_GB2312"/>
          <w:color w:val="auto"/>
          <w:sz w:val="24"/>
        </w:rPr>
        <w:t>(供应商名称)的法定代表人，现委托</w:t>
      </w:r>
      <w:r>
        <w:rPr>
          <w:rFonts w:ascii="Times New Roman" w:hAnsi="Times New Roman" w:eastAsia="仿宋_GB2312"/>
          <w:color w:val="auto"/>
          <w:sz w:val="24"/>
          <w:u w:val="single"/>
        </w:rPr>
        <w:t xml:space="preserve">        </w:t>
      </w:r>
      <w:r>
        <w:rPr>
          <w:rFonts w:ascii="Times New Roman" w:hAnsi="Times New Roman" w:eastAsia="仿宋_GB2312"/>
          <w:color w:val="auto"/>
          <w:sz w:val="24"/>
        </w:rPr>
        <w:t>(姓名)为我方代理人。代理人根据授权，以我方名义签署、澄清、说明、补正、递交、撤回、修改</w:t>
      </w:r>
      <w:r>
        <w:rPr>
          <w:rFonts w:ascii="Times New Roman" w:hAnsi="Times New Roman" w:eastAsia="仿宋_GB2312"/>
          <w:color w:val="auto"/>
          <w:sz w:val="24"/>
          <w:u w:val="single"/>
        </w:rPr>
        <w:t xml:space="preserve"> </w:t>
      </w:r>
      <w:r>
        <w:rPr>
          <w:rFonts w:hint="eastAsia" w:ascii="Times New Roman" w:hAnsi="Times New Roman" w:eastAsia="仿宋_GB2312"/>
          <w:color w:val="auto"/>
          <w:sz w:val="24"/>
          <w:u w:val="single"/>
        </w:rPr>
        <w:t>深圳安联尚璟府项目阶段性软装家装类框架采购（2025年度）</w:t>
      </w:r>
      <w:r>
        <w:rPr>
          <w:rFonts w:ascii="Times New Roman" w:hAnsi="Times New Roman" w:eastAsia="仿宋_GB2312"/>
          <w:color w:val="auto"/>
          <w:sz w:val="24"/>
          <w:u w:val="single"/>
        </w:rPr>
        <w:t xml:space="preserve"> </w:t>
      </w:r>
      <w:r>
        <w:rPr>
          <w:rFonts w:ascii="Times New Roman" w:hAnsi="Times New Roman" w:eastAsia="仿宋_GB2312"/>
          <w:color w:val="auto"/>
          <w:sz w:val="24"/>
        </w:rPr>
        <w:t>合同包响应文件、签订合同和处理有关事宜，其法律后果由我方承担。</w:t>
      </w:r>
    </w:p>
    <w:p w14:paraId="67A7BC16">
      <w:pPr>
        <w:spacing w:line="500" w:lineRule="atLeast"/>
        <w:rPr>
          <w:rFonts w:ascii="Times New Roman" w:hAnsi="Times New Roman" w:eastAsia="仿宋_GB2312"/>
          <w:color w:val="auto"/>
          <w:sz w:val="24"/>
        </w:rPr>
      </w:pPr>
      <w:r>
        <w:rPr>
          <w:rFonts w:ascii="Times New Roman" w:hAnsi="Times New Roman" w:eastAsia="仿宋_GB2312"/>
          <w:color w:val="auto"/>
          <w:sz w:val="24"/>
        </w:rPr>
        <w:t xml:space="preserve">    委托期限：</w:t>
      </w:r>
      <w:r>
        <w:rPr>
          <w:rFonts w:ascii="Times New Roman" w:hAnsi="Times New Roman" w:eastAsia="仿宋_GB2312"/>
          <w:color w:val="auto"/>
          <w:sz w:val="24"/>
          <w:u w:val="single"/>
        </w:rPr>
        <w:t>自授权委托之日起至签订合同之日止</w:t>
      </w:r>
      <w:r>
        <w:rPr>
          <w:rFonts w:ascii="Times New Roman" w:hAnsi="Times New Roman" w:eastAsia="仿宋_GB2312"/>
          <w:color w:val="auto"/>
          <w:sz w:val="24"/>
        </w:rPr>
        <w:t>。</w:t>
      </w:r>
    </w:p>
    <w:p w14:paraId="28E7859D">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代理人无转委托权。</w:t>
      </w:r>
    </w:p>
    <w:p w14:paraId="54FDA7E8">
      <w:pPr>
        <w:spacing w:line="500" w:lineRule="atLeast"/>
        <w:ind w:firstLine="480" w:firstLineChars="200"/>
        <w:rPr>
          <w:rFonts w:ascii="Times New Roman" w:hAnsi="Times New Roman" w:eastAsia="仿宋_GB2312"/>
          <w:color w:val="auto"/>
          <w:sz w:val="24"/>
        </w:rPr>
      </w:pPr>
      <w:r>
        <w:rPr>
          <w:rFonts w:ascii="Times New Roman" w:hAnsi="Times New Roman" w:eastAsia="仿宋_GB2312"/>
          <w:color w:val="auto"/>
          <w:sz w:val="24"/>
        </w:rPr>
        <w:t>附：法定代表人身份证明、委托代理人的身份证正反面复印件</w:t>
      </w:r>
    </w:p>
    <w:p w14:paraId="221F6140">
      <w:pPr>
        <w:spacing w:line="500" w:lineRule="atLeast"/>
        <w:ind w:firstLine="480" w:firstLineChars="200"/>
        <w:rPr>
          <w:rFonts w:ascii="Times New Roman" w:hAnsi="Times New Roman" w:eastAsia="仿宋_GB2312"/>
          <w:color w:val="auto"/>
          <w:sz w:val="24"/>
        </w:rPr>
      </w:pPr>
    </w:p>
    <w:p w14:paraId="28E2924B">
      <w:pPr>
        <w:spacing w:line="500" w:lineRule="atLeast"/>
        <w:rPr>
          <w:rFonts w:ascii="Times New Roman" w:hAnsi="Times New Roman" w:eastAsia="仿宋_GB2312"/>
          <w:color w:val="auto"/>
          <w:sz w:val="24"/>
        </w:rPr>
      </w:pPr>
    </w:p>
    <w:p w14:paraId="17130A03">
      <w:pPr>
        <w:spacing w:line="500" w:lineRule="atLeast"/>
        <w:rPr>
          <w:rFonts w:ascii="Times New Roman" w:hAnsi="Times New Roman" w:eastAsia="仿宋_GB2312"/>
          <w:color w:val="auto"/>
          <w:sz w:val="24"/>
        </w:rPr>
      </w:pPr>
      <w:r>
        <w:rPr>
          <w:rFonts w:ascii="Times New Roman" w:hAnsi="Times New Roman" w:eastAsia="仿宋_GB2312"/>
          <w:color w:val="auto"/>
          <w:sz w:val="24"/>
        </w:rPr>
        <w:t>供应商：</w:t>
      </w:r>
      <w:r>
        <w:rPr>
          <w:rFonts w:ascii="Times New Roman" w:hAnsi="Times New Roman" w:eastAsia="仿宋_GB2312"/>
          <w:color w:val="auto"/>
          <w:sz w:val="24"/>
          <w:u w:val="single"/>
        </w:rPr>
        <w:t xml:space="preserve">                               </w:t>
      </w:r>
      <w:r>
        <w:rPr>
          <w:rFonts w:ascii="Times New Roman" w:hAnsi="Times New Roman" w:eastAsia="仿宋_GB2312"/>
          <w:color w:val="auto"/>
          <w:sz w:val="24"/>
        </w:rPr>
        <w:t>(盖单位章)</w:t>
      </w:r>
    </w:p>
    <w:p w14:paraId="5073C27F">
      <w:pPr>
        <w:spacing w:line="500" w:lineRule="atLeast"/>
        <w:rPr>
          <w:rFonts w:ascii="Times New Roman" w:hAnsi="Times New Roman" w:eastAsia="仿宋_GB2312"/>
          <w:color w:val="auto"/>
          <w:sz w:val="24"/>
        </w:rPr>
      </w:pPr>
    </w:p>
    <w:p w14:paraId="03F95ED4">
      <w:pPr>
        <w:spacing w:line="500" w:lineRule="atLeast"/>
        <w:rPr>
          <w:rFonts w:ascii="Times New Roman" w:hAnsi="Times New Roman" w:eastAsia="仿宋_GB2312"/>
          <w:color w:val="auto"/>
          <w:sz w:val="24"/>
        </w:rPr>
      </w:pPr>
      <w:r>
        <w:rPr>
          <w:rFonts w:ascii="Times New Roman" w:hAnsi="Times New Roman" w:eastAsia="仿宋_GB2312"/>
          <w:color w:val="auto"/>
          <w:sz w:val="24"/>
        </w:rPr>
        <w:t>法定代表人：</w:t>
      </w:r>
      <w:r>
        <w:rPr>
          <w:rFonts w:ascii="Times New Roman" w:hAnsi="Times New Roman" w:eastAsia="仿宋_GB2312"/>
          <w:color w:val="auto"/>
          <w:sz w:val="24"/>
          <w:u w:val="single"/>
        </w:rPr>
        <w:t xml:space="preserve">                               </w:t>
      </w:r>
      <w:r>
        <w:rPr>
          <w:rFonts w:ascii="Times New Roman" w:hAnsi="Times New Roman" w:eastAsia="仿宋_GB2312"/>
          <w:color w:val="auto"/>
          <w:sz w:val="24"/>
        </w:rPr>
        <w:t>(签名)</w:t>
      </w:r>
    </w:p>
    <w:p w14:paraId="10B79295">
      <w:pPr>
        <w:spacing w:line="500" w:lineRule="atLeast"/>
        <w:rPr>
          <w:rFonts w:ascii="Times New Roman" w:hAnsi="Times New Roman" w:eastAsia="仿宋_GB2312"/>
          <w:color w:val="auto"/>
          <w:sz w:val="24"/>
        </w:rPr>
      </w:pPr>
    </w:p>
    <w:p w14:paraId="6D7F0E01">
      <w:pPr>
        <w:spacing w:line="500" w:lineRule="atLeast"/>
        <w:rPr>
          <w:rFonts w:ascii="Times New Roman" w:hAnsi="Times New Roman" w:eastAsia="仿宋_GB2312"/>
          <w:color w:val="auto"/>
          <w:sz w:val="24"/>
        </w:rPr>
      </w:pPr>
      <w:r>
        <w:rPr>
          <w:rFonts w:ascii="Times New Roman" w:hAnsi="Times New Roman" w:eastAsia="仿宋_GB2312"/>
          <w:color w:val="auto"/>
          <w:sz w:val="24"/>
        </w:rPr>
        <w:t>身份证号码：</w:t>
      </w:r>
      <w:r>
        <w:rPr>
          <w:rFonts w:ascii="Times New Roman" w:hAnsi="Times New Roman" w:eastAsia="仿宋_GB2312"/>
          <w:color w:val="auto"/>
          <w:sz w:val="24"/>
          <w:u w:val="single"/>
        </w:rPr>
        <w:t xml:space="preserve">                                    </w:t>
      </w:r>
    </w:p>
    <w:p w14:paraId="3E493F30">
      <w:pPr>
        <w:spacing w:line="500" w:lineRule="atLeast"/>
        <w:rPr>
          <w:rFonts w:ascii="Times New Roman" w:hAnsi="Times New Roman" w:eastAsia="仿宋_GB2312"/>
          <w:color w:val="auto"/>
          <w:sz w:val="24"/>
        </w:rPr>
      </w:pPr>
    </w:p>
    <w:p w14:paraId="1B09F3F9">
      <w:pPr>
        <w:spacing w:line="500" w:lineRule="atLeast"/>
        <w:rPr>
          <w:rFonts w:ascii="Times New Roman" w:hAnsi="Times New Roman" w:eastAsia="仿宋_GB2312"/>
          <w:color w:val="auto"/>
          <w:sz w:val="24"/>
        </w:rPr>
      </w:pPr>
      <w:r>
        <w:rPr>
          <w:rFonts w:ascii="Times New Roman" w:hAnsi="Times New Roman" w:eastAsia="仿宋_GB2312"/>
          <w:color w:val="auto"/>
          <w:sz w:val="24"/>
        </w:rPr>
        <w:t>委托代理人：</w:t>
      </w:r>
      <w:r>
        <w:rPr>
          <w:rFonts w:ascii="Times New Roman" w:hAnsi="Times New Roman" w:eastAsia="仿宋_GB2312"/>
          <w:color w:val="auto"/>
          <w:sz w:val="24"/>
          <w:u w:val="single"/>
        </w:rPr>
        <w:t xml:space="preserve">                               </w:t>
      </w:r>
      <w:r>
        <w:rPr>
          <w:rFonts w:ascii="Times New Roman" w:hAnsi="Times New Roman" w:eastAsia="仿宋_GB2312"/>
          <w:color w:val="auto"/>
          <w:sz w:val="24"/>
        </w:rPr>
        <w:t>(签名)</w:t>
      </w:r>
    </w:p>
    <w:p w14:paraId="67E161A2">
      <w:pPr>
        <w:spacing w:line="500" w:lineRule="atLeast"/>
        <w:rPr>
          <w:rFonts w:ascii="Times New Roman" w:hAnsi="Times New Roman" w:eastAsia="仿宋_GB2312"/>
          <w:color w:val="auto"/>
          <w:sz w:val="24"/>
        </w:rPr>
      </w:pPr>
    </w:p>
    <w:p w14:paraId="4C6B7D4F">
      <w:pPr>
        <w:spacing w:line="500" w:lineRule="atLeast"/>
        <w:rPr>
          <w:rFonts w:ascii="Times New Roman" w:hAnsi="Times New Roman" w:eastAsia="仿宋_GB2312"/>
          <w:color w:val="auto"/>
          <w:sz w:val="24"/>
        </w:rPr>
      </w:pPr>
      <w:r>
        <w:rPr>
          <w:rFonts w:ascii="Times New Roman" w:hAnsi="Times New Roman" w:eastAsia="仿宋_GB2312"/>
          <w:color w:val="auto"/>
          <w:sz w:val="24"/>
        </w:rPr>
        <w:t>身份证号码：</w:t>
      </w:r>
      <w:r>
        <w:rPr>
          <w:rFonts w:ascii="Times New Roman" w:hAnsi="Times New Roman" w:eastAsia="仿宋_GB2312"/>
          <w:color w:val="auto"/>
          <w:sz w:val="24"/>
          <w:u w:val="single"/>
        </w:rPr>
        <w:t xml:space="preserve">                                    </w:t>
      </w:r>
    </w:p>
    <w:p w14:paraId="52B32A65">
      <w:pPr>
        <w:spacing w:line="500" w:lineRule="atLeast"/>
        <w:rPr>
          <w:rFonts w:ascii="Times New Roman" w:hAnsi="Times New Roman" w:eastAsia="仿宋_GB2312"/>
          <w:color w:val="auto"/>
          <w:sz w:val="24"/>
        </w:rPr>
      </w:pPr>
    </w:p>
    <w:p w14:paraId="3E6E57B5">
      <w:pPr>
        <w:spacing w:line="500" w:lineRule="atLeast"/>
        <w:rPr>
          <w:rFonts w:ascii="Times New Roman" w:hAnsi="Times New Roman" w:eastAsia="仿宋_GB2312"/>
          <w:color w:val="auto"/>
          <w:sz w:val="24"/>
        </w:rPr>
      </w:pPr>
    </w:p>
    <w:p w14:paraId="2A278DA0">
      <w:pPr>
        <w:spacing w:line="500" w:lineRule="atLeast"/>
        <w:ind w:firstLine="1800" w:firstLineChars="750"/>
        <w:rPr>
          <w:rFonts w:ascii="Times New Roman" w:hAnsi="Times New Roman" w:eastAsia="仿宋_GB2312"/>
          <w:color w:val="auto"/>
          <w:sz w:val="24"/>
        </w:rPr>
      </w:pP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年 </w:t>
      </w:r>
      <w:r>
        <w:rPr>
          <w:rFonts w:ascii="Times New Roman" w:hAnsi="Times New Roman" w:eastAsia="仿宋_GB2312"/>
          <w:color w:val="auto"/>
          <w:sz w:val="24"/>
          <w:u w:val="single"/>
        </w:rPr>
        <w:t xml:space="preserve">     </w:t>
      </w:r>
      <w:r>
        <w:rPr>
          <w:rFonts w:ascii="Times New Roman" w:hAnsi="Times New Roman" w:eastAsia="仿宋_GB2312"/>
          <w:color w:val="auto"/>
          <w:sz w:val="24"/>
        </w:rPr>
        <w:t>月</w:t>
      </w:r>
      <w:r>
        <w:rPr>
          <w:rFonts w:ascii="Times New Roman" w:hAnsi="Times New Roman" w:eastAsia="仿宋_GB2312"/>
          <w:color w:val="auto"/>
          <w:sz w:val="24"/>
          <w:u w:val="single"/>
        </w:rPr>
        <w:t xml:space="preserve">    </w:t>
      </w:r>
      <w:r>
        <w:rPr>
          <w:rFonts w:ascii="Times New Roman" w:hAnsi="Times New Roman" w:eastAsia="仿宋_GB2312"/>
          <w:color w:val="auto"/>
          <w:sz w:val="24"/>
        </w:rPr>
        <w:t>日</w:t>
      </w:r>
    </w:p>
    <w:p w14:paraId="4A7108EB">
      <w:pPr>
        <w:spacing w:line="440" w:lineRule="exact"/>
        <w:ind w:firstLine="1800" w:firstLineChars="750"/>
        <w:rPr>
          <w:rFonts w:ascii="Times New Roman" w:hAnsi="Times New Roman" w:eastAsia="黑体"/>
          <w:color w:val="auto"/>
          <w:sz w:val="24"/>
        </w:rPr>
      </w:pPr>
    </w:p>
    <w:p w14:paraId="6D6FF862">
      <w:pPr>
        <w:spacing w:line="440" w:lineRule="exact"/>
        <w:rPr>
          <w:rFonts w:ascii="Times New Roman" w:hAnsi="Times New Roman" w:eastAsia="黑体"/>
          <w:color w:val="auto"/>
          <w:sz w:val="24"/>
        </w:rPr>
      </w:pPr>
      <w:r>
        <w:rPr>
          <w:rFonts w:ascii="Times New Roman" w:hAnsi="Times New Roman" w:eastAsia="黑体"/>
          <w:color w:val="auto"/>
          <w:sz w:val="24"/>
        </w:rPr>
        <w:t xml:space="preserve"> </w:t>
      </w:r>
    </w:p>
    <w:p w14:paraId="7B98BFB5">
      <w:pPr>
        <w:spacing w:line="360" w:lineRule="exact"/>
        <w:ind w:left="360" w:hanging="360" w:hangingChars="200"/>
        <w:rPr>
          <w:rFonts w:ascii="Times New Roman" w:hAnsi="Times New Roman" w:eastAsia="黑体"/>
          <w:color w:val="auto"/>
          <w:sz w:val="18"/>
          <w:szCs w:val="18"/>
        </w:rPr>
      </w:pPr>
    </w:p>
    <w:p w14:paraId="2DFF898D">
      <w:pPr>
        <w:spacing w:line="600" w:lineRule="exact"/>
        <w:jc w:val="center"/>
        <w:rPr>
          <w:rFonts w:ascii="Times New Roman" w:hAnsi="Times New Roman" w:eastAsia="方正小标宋简体"/>
          <w:color w:val="auto"/>
          <w:sz w:val="44"/>
          <w:szCs w:val="44"/>
        </w:rPr>
      </w:pPr>
      <w:r>
        <w:rPr>
          <w:rFonts w:ascii="Times New Roman" w:hAnsi="Times New Roman" w:eastAsia="黑体"/>
          <w:color w:val="auto"/>
          <w:sz w:val="24"/>
        </w:rPr>
        <w:br w:type="page"/>
      </w:r>
      <w:bookmarkStart w:id="189" w:name="_Toc15186_WPSOffice_Level1"/>
      <w:bookmarkStart w:id="190" w:name="_Toc32085_WPSOffice_Level1"/>
      <w:bookmarkStart w:id="191" w:name="_Toc24530_WPSOffice_Level1"/>
      <w:bookmarkStart w:id="192" w:name="_Toc24567_WPSOffice_Level1"/>
      <w:bookmarkStart w:id="193" w:name="_Toc12942_WPSOffice_Level1"/>
      <w:r>
        <w:rPr>
          <w:rFonts w:ascii="Times New Roman" w:hAnsi="Times New Roman" w:eastAsia="微软雅黑"/>
          <w:color w:val="auto"/>
          <w:sz w:val="44"/>
          <w:szCs w:val="44"/>
        </w:rPr>
        <w:t>三、已标价的</w:t>
      </w:r>
      <w:bookmarkEnd w:id="189"/>
      <w:bookmarkEnd w:id="190"/>
      <w:bookmarkEnd w:id="191"/>
      <w:bookmarkEnd w:id="192"/>
      <w:r>
        <w:rPr>
          <w:rFonts w:ascii="Times New Roman" w:hAnsi="Times New Roman" w:eastAsia="微软雅黑"/>
          <w:color w:val="auto"/>
          <w:sz w:val="44"/>
          <w:szCs w:val="44"/>
        </w:rPr>
        <w:t>报价清单</w:t>
      </w:r>
      <w:bookmarkEnd w:id="193"/>
    </w:p>
    <w:p w14:paraId="3F4CB75F">
      <w:pPr>
        <w:spacing w:line="440" w:lineRule="exact"/>
        <w:ind w:firstLine="480" w:firstLineChars="200"/>
        <w:rPr>
          <w:rFonts w:ascii="Times New Roman" w:hAnsi="Times New Roman" w:eastAsia="仿宋_GB2312"/>
          <w:color w:val="auto"/>
          <w:sz w:val="24"/>
        </w:rPr>
      </w:pPr>
      <w:r>
        <w:rPr>
          <w:rFonts w:ascii="Times New Roman" w:hAnsi="Times New Roman" w:eastAsia="仿宋_GB2312"/>
          <w:color w:val="auto"/>
          <w:sz w:val="24"/>
        </w:rPr>
        <w:t>将已标价的报价清单粘贴于此处，并加盖公章，报价单内容</w:t>
      </w:r>
      <w:r>
        <w:rPr>
          <w:rFonts w:hint="eastAsia" w:ascii="Times New Roman" w:hAnsi="Times New Roman" w:eastAsia="仿宋_GB2312"/>
          <w:color w:val="auto"/>
          <w:sz w:val="24"/>
        </w:rPr>
        <w:t>详</w:t>
      </w:r>
      <w:r>
        <w:rPr>
          <w:rFonts w:ascii="Times New Roman" w:hAnsi="Times New Roman" w:eastAsia="仿宋_GB2312"/>
          <w:color w:val="auto"/>
          <w:sz w:val="24"/>
        </w:rPr>
        <w:t>见“第五章-采购需求及清单”。</w:t>
      </w:r>
    </w:p>
    <w:p w14:paraId="7D23867C">
      <w:pPr>
        <w:spacing w:line="440" w:lineRule="exact"/>
        <w:ind w:firstLine="480" w:firstLineChars="200"/>
        <w:rPr>
          <w:rFonts w:ascii="Times New Roman" w:hAnsi="Times New Roman" w:eastAsia="黑体"/>
          <w:color w:val="auto"/>
          <w:sz w:val="24"/>
        </w:rPr>
      </w:pPr>
    </w:p>
    <w:p w14:paraId="56EB2E1E">
      <w:pPr>
        <w:spacing w:line="440" w:lineRule="exact"/>
        <w:ind w:firstLine="480" w:firstLineChars="200"/>
        <w:rPr>
          <w:rFonts w:ascii="Times New Roman" w:hAnsi="Times New Roman" w:eastAsia="黑体"/>
          <w:color w:val="auto"/>
          <w:sz w:val="24"/>
        </w:rPr>
      </w:pPr>
    </w:p>
    <w:p w14:paraId="17552478">
      <w:pPr>
        <w:spacing w:line="440" w:lineRule="exact"/>
        <w:rPr>
          <w:rFonts w:ascii="Times New Roman" w:hAnsi="Times New Roman" w:eastAsia="黑体"/>
          <w:color w:val="auto"/>
          <w:sz w:val="24"/>
        </w:rPr>
        <w:sectPr>
          <w:footnotePr>
            <w:numFmt w:val="decimalEnclosedCircleChinese"/>
          </w:footnotePr>
          <w:pgSz w:w="11906" w:h="16838"/>
          <w:pgMar w:top="1440" w:right="1797" w:bottom="1440" w:left="1797" w:header="851" w:footer="992" w:gutter="0"/>
          <w:cols w:space="720" w:num="1"/>
          <w:docGrid w:type="linesAndChars" w:linePitch="312" w:charSpace="0"/>
        </w:sectPr>
      </w:pPr>
    </w:p>
    <w:p w14:paraId="3864D4D4">
      <w:pPr>
        <w:spacing w:line="600" w:lineRule="exact"/>
        <w:jc w:val="center"/>
        <w:rPr>
          <w:rFonts w:ascii="Times New Roman" w:hAnsi="Times New Roman" w:eastAsia="微软雅黑"/>
          <w:color w:val="auto"/>
          <w:sz w:val="44"/>
          <w:szCs w:val="44"/>
        </w:rPr>
      </w:pPr>
      <w:bookmarkStart w:id="194" w:name="_Toc10436_WPSOffice_Level1"/>
      <w:bookmarkStart w:id="195" w:name="_Toc22815_WPSOffice_Level1"/>
      <w:bookmarkStart w:id="196" w:name="_Toc7738_WPSOffice_Level1"/>
      <w:bookmarkStart w:id="197" w:name="_Toc31445_WPSOffice_Level1"/>
      <w:bookmarkStart w:id="198" w:name="_Toc23545_WPSOffice_Level1"/>
      <w:r>
        <w:rPr>
          <w:rFonts w:ascii="Times New Roman" w:hAnsi="Times New Roman" w:eastAsia="微软雅黑"/>
          <w:color w:val="auto"/>
          <w:sz w:val="44"/>
          <w:szCs w:val="44"/>
        </w:rPr>
        <w:t>四、</w:t>
      </w:r>
      <w:bookmarkStart w:id="199" w:name="_Toc2807_WPSOffice_Level2"/>
      <w:bookmarkStart w:id="200" w:name="_Toc27600_WPSOffice_Level2"/>
      <w:r>
        <w:rPr>
          <w:rFonts w:ascii="Times New Roman" w:hAnsi="Times New Roman" w:eastAsia="微软雅黑"/>
          <w:color w:val="auto"/>
          <w:sz w:val="44"/>
          <w:szCs w:val="44"/>
        </w:rPr>
        <w:t>供应商基本情况</w:t>
      </w:r>
      <w:bookmarkEnd w:id="194"/>
      <w:bookmarkEnd w:id="195"/>
      <w:bookmarkEnd w:id="196"/>
      <w:bookmarkEnd w:id="197"/>
      <w:bookmarkEnd w:id="198"/>
      <w:bookmarkEnd w:id="199"/>
      <w:bookmarkEnd w:id="200"/>
    </w:p>
    <w:p w14:paraId="0F459C90">
      <w:pPr>
        <w:topLinePunct/>
        <w:spacing w:line="500" w:lineRule="atLeast"/>
        <w:jc w:val="center"/>
        <w:rPr>
          <w:rFonts w:ascii="Times New Roman" w:hAnsi="Times New Roman"/>
          <w:color w:val="auto"/>
          <w:sz w:val="23"/>
          <w:szCs w:val="23"/>
        </w:rPr>
      </w:pPr>
    </w:p>
    <w:tbl>
      <w:tblPr>
        <w:tblStyle w:val="20"/>
        <w:tblW w:w="8620" w:type="dxa"/>
        <w:tblInd w:w="0" w:type="dxa"/>
        <w:tblBorders>
          <w:top w:val="single" w:color="auto" w:sz="4" w:space="0"/>
          <w:left w:val="single" w:color="auto" w:sz="4" w:space="0"/>
          <w:bottom w:val="single" w:color="auto" w:sz="4" w:space="0"/>
          <w:right w:val="single" w:color="auto" w:sz="4" w:space="0"/>
          <w:insideH w:val="none" w:color="auto" w:sz="0" w:space="0"/>
          <w:insideV w:val="none" w:color="auto" w:sz="0" w:space="0"/>
        </w:tblBorders>
        <w:tblLayout w:type="fixed"/>
        <w:tblCellMar>
          <w:top w:w="0" w:type="dxa"/>
          <w:left w:w="108" w:type="dxa"/>
          <w:bottom w:w="0" w:type="dxa"/>
          <w:right w:w="108" w:type="dxa"/>
        </w:tblCellMar>
      </w:tblPr>
      <w:tblGrid>
        <w:gridCol w:w="1920"/>
        <w:gridCol w:w="1087"/>
        <w:gridCol w:w="2173"/>
        <w:gridCol w:w="1244"/>
        <w:gridCol w:w="2196"/>
      </w:tblGrid>
      <w:tr w14:paraId="733B30EB">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7C940817">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供应商名称</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56075B02">
            <w:pPr>
              <w:topLinePunct/>
              <w:spacing w:line="500" w:lineRule="atLeast"/>
              <w:jc w:val="center"/>
              <w:rPr>
                <w:rFonts w:ascii="Times New Roman" w:hAnsi="Times New Roman" w:eastAsia="仿宋_GB2312"/>
                <w:color w:val="auto"/>
                <w:sz w:val="24"/>
              </w:rPr>
            </w:pPr>
          </w:p>
        </w:tc>
      </w:tr>
      <w:tr w14:paraId="374CD41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40D0955E">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注册地址</w:t>
            </w:r>
          </w:p>
        </w:tc>
        <w:tc>
          <w:tcPr>
            <w:tcW w:w="3260" w:type="dxa"/>
            <w:gridSpan w:val="2"/>
            <w:tcBorders>
              <w:top w:val="single" w:color="auto" w:sz="4" w:space="0"/>
              <w:left w:val="single" w:color="auto" w:sz="4" w:space="0"/>
              <w:bottom w:val="single" w:color="auto" w:sz="4" w:space="0"/>
              <w:right w:val="single" w:color="auto" w:sz="4" w:space="0"/>
            </w:tcBorders>
            <w:vAlign w:val="center"/>
          </w:tcPr>
          <w:p w14:paraId="1CFF0381">
            <w:pPr>
              <w:topLinePunct/>
              <w:spacing w:line="500" w:lineRule="atLeast"/>
              <w:jc w:val="center"/>
              <w:rPr>
                <w:rFonts w:ascii="Times New Roman" w:hAnsi="Times New Roman" w:eastAsia="仿宋_GB2312"/>
                <w:color w:val="auto"/>
                <w:sz w:val="24"/>
              </w:rPr>
            </w:pPr>
          </w:p>
        </w:tc>
        <w:tc>
          <w:tcPr>
            <w:tcW w:w="1244" w:type="dxa"/>
            <w:tcBorders>
              <w:top w:val="single" w:color="auto" w:sz="4" w:space="0"/>
              <w:left w:val="single" w:color="auto" w:sz="4" w:space="0"/>
              <w:bottom w:val="single" w:color="auto" w:sz="4" w:space="0"/>
              <w:right w:val="single" w:color="auto" w:sz="4" w:space="0"/>
            </w:tcBorders>
            <w:vAlign w:val="center"/>
          </w:tcPr>
          <w:p w14:paraId="7E3622DB">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电 话</w:t>
            </w:r>
          </w:p>
        </w:tc>
        <w:tc>
          <w:tcPr>
            <w:tcW w:w="2196" w:type="dxa"/>
            <w:tcBorders>
              <w:top w:val="single" w:color="auto" w:sz="4" w:space="0"/>
              <w:left w:val="single" w:color="auto" w:sz="4" w:space="0"/>
              <w:bottom w:val="single" w:color="auto" w:sz="4" w:space="0"/>
              <w:right w:val="single" w:color="auto" w:sz="4" w:space="0"/>
            </w:tcBorders>
            <w:vAlign w:val="center"/>
          </w:tcPr>
          <w:p w14:paraId="7DE43832">
            <w:pPr>
              <w:topLinePunct/>
              <w:spacing w:line="500" w:lineRule="atLeast"/>
              <w:jc w:val="center"/>
              <w:rPr>
                <w:rFonts w:ascii="Times New Roman" w:hAnsi="Times New Roman" w:eastAsia="仿宋_GB2312"/>
                <w:color w:val="auto"/>
                <w:sz w:val="24"/>
              </w:rPr>
            </w:pPr>
          </w:p>
        </w:tc>
      </w:tr>
      <w:tr w14:paraId="234E15B3">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restart"/>
            <w:tcBorders>
              <w:top w:val="single" w:color="auto" w:sz="4" w:space="0"/>
              <w:left w:val="single" w:color="auto" w:sz="4" w:space="0"/>
              <w:bottom w:val="single" w:color="auto" w:sz="4" w:space="0"/>
              <w:right w:val="single" w:color="auto" w:sz="4" w:space="0"/>
            </w:tcBorders>
            <w:vAlign w:val="center"/>
          </w:tcPr>
          <w:p w14:paraId="197269C7">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联系方式</w:t>
            </w:r>
          </w:p>
        </w:tc>
        <w:tc>
          <w:tcPr>
            <w:tcW w:w="1087" w:type="dxa"/>
            <w:tcBorders>
              <w:top w:val="single" w:color="auto" w:sz="4" w:space="0"/>
              <w:left w:val="single" w:color="auto" w:sz="4" w:space="0"/>
              <w:bottom w:val="single" w:color="auto" w:sz="4" w:space="0"/>
              <w:right w:val="single" w:color="auto" w:sz="4" w:space="0"/>
            </w:tcBorders>
            <w:vAlign w:val="center"/>
          </w:tcPr>
          <w:p w14:paraId="5550B9D4">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联系人</w:t>
            </w:r>
          </w:p>
        </w:tc>
        <w:tc>
          <w:tcPr>
            <w:tcW w:w="2173" w:type="dxa"/>
            <w:tcBorders>
              <w:top w:val="single" w:color="auto" w:sz="4" w:space="0"/>
              <w:left w:val="single" w:color="auto" w:sz="4" w:space="0"/>
              <w:bottom w:val="single" w:color="auto" w:sz="4" w:space="0"/>
              <w:right w:val="single" w:color="auto" w:sz="4" w:space="0"/>
            </w:tcBorders>
            <w:vAlign w:val="center"/>
          </w:tcPr>
          <w:p w14:paraId="14F5DF3F">
            <w:pPr>
              <w:topLinePunct/>
              <w:spacing w:line="500" w:lineRule="atLeast"/>
              <w:jc w:val="center"/>
              <w:rPr>
                <w:rFonts w:ascii="Times New Roman" w:hAnsi="Times New Roman" w:eastAsia="仿宋_GB2312"/>
                <w:color w:val="auto"/>
                <w:sz w:val="24"/>
              </w:rPr>
            </w:pPr>
          </w:p>
        </w:tc>
        <w:tc>
          <w:tcPr>
            <w:tcW w:w="1244" w:type="dxa"/>
            <w:tcBorders>
              <w:top w:val="single" w:color="auto" w:sz="4" w:space="0"/>
              <w:left w:val="single" w:color="auto" w:sz="4" w:space="0"/>
              <w:bottom w:val="single" w:color="auto" w:sz="4" w:space="0"/>
              <w:right w:val="single" w:color="auto" w:sz="4" w:space="0"/>
            </w:tcBorders>
            <w:vAlign w:val="center"/>
          </w:tcPr>
          <w:p w14:paraId="37823693">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电 话</w:t>
            </w:r>
          </w:p>
        </w:tc>
        <w:tc>
          <w:tcPr>
            <w:tcW w:w="2196" w:type="dxa"/>
            <w:tcBorders>
              <w:top w:val="single" w:color="auto" w:sz="4" w:space="0"/>
              <w:left w:val="single" w:color="auto" w:sz="4" w:space="0"/>
              <w:bottom w:val="single" w:color="auto" w:sz="4" w:space="0"/>
              <w:right w:val="single" w:color="auto" w:sz="4" w:space="0"/>
            </w:tcBorders>
            <w:vAlign w:val="center"/>
          </w:tcPr>
          <w:p w14:paraId="19747235">
            <w:pPr>
              <w:topLinePunct/>
              <w:spacing w:line="500" w:lineRule="atLeast"/>
              <w:jc w:val="center"/>
              <w:rPr>
                <w:rFonts w:ascii="Times New Roman" w:hAnsi="Times New Roman" w:eastAsia="仿宋_GB2312"/>
                <w:color w:val="auto"/>
                <w:sz w:val="24"/>
              </w:rPr>
            </w:pPr>
          </w:p>
        </w:tc>
      </w:tr>
      <w:tr w14:paraId="6C1B36DF">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vMerge w:val="continue"/>
            <w:tcBorders>
              <w:top w:val="single" w:color="auto" w:sz="4" w:space="0"/>
              <w:left w:val="single" w:color="auto" w:sz="4" w:space="0"/>
              <w:bottom w:val="single" w:color="auto" w:sz="4" w:space="0"/>
              <w:right w:val="single" w:color="auto" w:sz="4" w:space="0"/>
            </w:tcBorders>
            <w:vAlign w:val="center"/>
          </w:tcPr>
          <w:p w14:paraId="05A34195">
            <w:pPr>
              <w:topLinePunct/>
              <w:spacing w:line="500" w:lineRule="atLeast"/>
              <w:jc w:val="center"/>
              <w:rPr>
                <w:rFonts w:ascii="Times New Roman" w:hAnsi="Times New Roman" w:eastAsia="仿宋_GB2312"/>
                <w:color w:val="auto"/>
                <w:sz w:val="24"/>
              </w:rPr>
            </w:pPr>
          </w:p>
        </w:tc>
        <w:tc>
          <w:tcPr>
            <w:tcW w:w="1087" w:type="dxa"/>
            <w:tcBorders>
              <w:top w:val="single" w:color="auto" w:sz="4" w:space="0"/>
              <w:left w:val="single" w:color="auto" w:sz="4" w:space="0"/>
              <w:bottom w:val="single" w:color="auto" w:sz="4" w:space="0"/>
              <w:right w:val="single" w:color="auto" w:sz="4" w:space="0"/>
            </w:tcBorders>
            <w:vAlign w:val="center"/>
          </w:tcPr>
          <w:p w14:paraId="6317A487">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职  务</w:t>
            </w:r>
          </w:p>
        </w:tc>
        <w:tc>
          <w:tcPr>
            <w:tcW w:w="2173" w:type="dxa"/>
            <w:tcBorders>
              <w:top w:val="single" w:color="auto" w:sz="4" w:space="0"/>
              <w:left w:val="single" w:color="auto" w:sz="4" w:space="0"/>
              <w:bottom w:val="single" w:color="auto" w:sz="4" w:space="0"/>
              <w:right w:val="single" w:color="auto" w:sz="4" w:space="0"/>
            </w:tcBorders>
            <w:vAlign w:val="center"/>
          </w:tcPr>
          <w:p w14:paraId="1D0FC01D">
            <w:pPr>
              <w:topLinePunct/>
              <w:spacing w:line="500" w:lineRule="atLeast"/>
              <w:jc w:val="center"/>
              <w:rPr>
                <w:rFonts w:ascii="Times New Roman" w:hAnsi="Times New Roman" w:eastAsia="仿宋_GB2312"/>
                <w:color w:val="auto"/>
                <w:sz w:val="24"/>
              </w:rPr>
            </w:pPr>
          </w:p>
        </w:tc>
        <w:tc>
          <w:tcPr>
            <w:tcW w:w="1244" w:type="dxa"/>
            <w:tcBorders>
              <w:top w:val="single" w:color="auto" w:sz="4" w:space="0"/>
              <w:left w:val="single" w:color="auto" w:sz="4" w:space="0"/>
              <w:bottom w:val="single" w:color="auto" w:sz="4" w:space="0"/>
              <w:right w:val="single" w:color="auto" w:sz="4" w:space="0"/>
            </w:tcBorders>
            <w:vAlign w:val="center"/>
          </w:tcPr>
          <w:p w14:paraId="0049CFB0">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电子邮箱</w:t>
            </w:r>
          </w:p>
        </w:tc>
        <w:tc>
          <w:tcPr>
            <w:tcW w:w="2196" w:type="dxa"/>
            <w:tcBorders>
              <w:top w:val="single" w:color="auto" w:sz="4" w:space="0"/>
              <w:left w:val="single" w:color="auto" w:sz="4" w:space="0"/>
              <w:bottom w:val="single" w:color="auto" w:sz="4" w:space="0"/>
              <w:right w:val="single" w:color="auto" w:sz="4" w:space="0"/>
            </w:tcBorders>
            <w:vAlign w:val="center"/>
          </w:tcPr>
          <w:p w14:paraId="2AB13A6D">
            <w:pPr>
              <w:topLinePunct/>
              <w:spacing w:line="500" w:lineRule="atLeast"/>
              <w:jc w:val="center"/>
              <w:rPr>
                <w:rFonts w:ascii="Times New Roman" w:hAnsi="Times New Roman" w:eastAsia="仿宋_GB2312"/>
                <w:color w:val="auto"/>
                <w:sz w:val="24"/>
              </w:rPr>
            </w:pPr>
          </w:p>
        </w:tc>
      </w:tr>
      <w:tr w14:paraId="2B08EC04">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6B14F7FA">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法定代表人</w:t>
            </w:r>
          </w:p>
        </w:tc>
        <w:tc>
          <w:tcPr>
            <w:tcW w:w="1087" w:type="dxa"/>
            <w:tcBorders>
              <w:top w:val="single" w:color="auto" w:sz="4" w:space="0"/>
              <w:left w:val="single" w:color="auto" w:sz="4" w:space="0"/>
              <w:bottom w:val="single" w:color="auto" w:sz="4" w:space="0"/>
              <w:right w:val="single" w:color="auto" w:sz="4" w:space="0"/>
            </w:tcBorders>
            <w:vAlign w:val="center"/>
          </w:tcPr>
          <w:p w14:paraId="1E7A3279">
            <w:pPr>
              <w:topLinePunct/>
              <w:spacing w:line="500" w:lineRule="atLeast"/>
              <w:jc w:val="center"/>
              <w:rPr>
                <w:rFonts w:ascii="Times New Roman" w:hAnsi="Times New Roman" w:eastAsia="仿宋_GB2312"/>
                <w:color w:val="auto"/>
                <w:sz w:val="24"/>
              </w:rPr>
            </w:pPr>
          </w:p>
        </w:tc>
        <w:tc>
          <w:tcPr>
            <w:tcW w:w="2173" w:type="dxa"/>
            <w:tcBorders>
              <w:top w:val="single" w:color="auto" w:sz="4" w:space="0"/>
              <w:left w:val="single" w:color="auto" w:sz="4" w:space="0"/>
              <w:bottom w:val="single" w:color="auto" w:sz="4" w:space="0"/>
              <w:right w:val="single" w:color="auto" w:sz="4" w:space="0"/>
            </w:tcBorders>
            <w:vAlign w:val="center"/>
          </w:tcPr>
          <w:p w14:paraId="50EF2126">
            <w:pPr>
              <w:topLinePunct/>
              <w:spacing w:line="500" w:lineRule="atLeast"/>
              <w:jc w:val="center"/>
              <w:rPr>
                <w:rFonts w:ascii="Times New Roman" w:hAnsi="Times New Roman" w:eastAsia="仿宋_GB2312"/>
                <w:color w:val="auto"/>
                <w:sz w:val="24"/>
              </w:rPr>
            </w:pPr>
          </w:p>
        </w:tc>
        <w:tc>
          <w:tcPr>
            <w:tcW w:w="1244" w:type="dxa"/>
            <w:tcBorders>
              <w:top w:val="single" w:color="auto" w:sz="4" w:space="0"/>
              <w:left w:val="single" w:color="auto" w:sz="4" w:space="0"/>
              <w:bottom w:val="single" w:color="auto" w:sz="4" w:space="0"/>
              <w:right w:val="single" w:color="auto" w:sz="4" w:space="0"/>
            </w:tcBorders>
            <w:vAlign w:val="center"/>
          </w:tcPr>
          <w:p w14:paraId="00D79CCE">
            <w:pPr>
              <w:topLinePunct/>
              <w:spacing w:line="500" w:lineRule="atLeast"/>
              <w:jc w:val="center"/>
              <w:rPr>
                <w:rFonts w:ascii="Times New Roman" w:hAnsi="Times New Roman" w:eastAsia="仿宋_GB2312"/>
                <w:color w:val="auto"/>
                <w:sz w:val="24"/>
              </w:rPr>
            </w:pPr>
          </w:p>
        </w:tc>
        <w:tc>
          <w:tcPr>
            <w:tcW w:w="2196" w:type="dxa"/>
            <w:tcBorders>
              <w:top w:val="single" w:color="auto" w:sz="4" w:space="0"/>
              <w:left w:val="single" w:color="auto" w:sz="4" w:space="0"/>
              <w:bottom w:val="single" w:color="auto" w:sz="4" w:space="0"/>
              <w:right w:val="single" w:color="auto" w:sz="4" w:space="0"/>
            </w:tcBorders>
            <w:vAlign w:val="center"/>
          </w:tcPr>
          <w:p w14:paraId="6AA730D3">
            <w:pPr>
              <w:topLinePunct/>
              <w:spacing w:line="500" w:lineRule="atLeast"/>
              <w:jc w:val="center"/>
              <w:rPr>
                <w:rFonts w:ascii="Times New Roman" w:hAnsi="Times New Roman" w:eastAsia="仿宋_GB2312"/>
                <w:color w:val="auto"/>
                <w:sz w:val="24"/>
              </w:rPr>
            </w:pPr>
          </w:p>
        </w:tc>
      </w:tr>
      <w:tr w14:paraId="2DEE38DD">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62" w:hRule="atLeast"/>
        </w:trPr>
        <w:tc>
          <w:tcPr>
            <w:tcW w:w="1920" w:type="dxa"/>
            <w:tcBorders>
              <w:top w:val="single" w:color="auto" w:sz="4" w:space="0"/>
              <w:left w:val="single" w:color="auto" w:sz="4" w:space="0"/>
              <w:bottom w:val="single" w:color="auto" w:sz="4" w:space="0"/>
              <w:right w:val="single" w:color="auto" w:sz="4" w:space="0"/>
            </w:tcBorders>
            <w:vAlign w:val="center"/>
          </w:tcPr>
          <w:p w14:paraId="105320D6">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企业资质等级</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601F5AE0">
            <w:pPr>
              <w:topLinePunct/>
              <w:spacing w:line="500" w:lineRule="atLeast"/>
              <w:jc w:val="center"/>
              <w:rPr>
                <w:rFonts w:ascii="Times New Roman" w:hAnsi="Times New Roman" w:eastAsia="仿宋_GB2312"/>
                <w:color w:val="auto"/>
                <w:sz w:val="24"/>
              </w:rPr>
            </w:pPr>
          </w:p>
        </w:tc>
      </w:tr>
      <w:tr w14:paraId="6E09D566">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1663" w:hRule="atLeast"/>
        </w:trPr>
        <w:tc>
          <w:tcPr>
            <w:tcW w:w="1920" w:type="dxa"/>
            <w:tcBorders>
              <w:top w:val="single" w:color="auto" w:sz="4" w:space="0"/>
              <w:left w:val="single" w:color="auto" w:sz="4" w:space="0"/>
              <w:bottom w:val="single" w:color="auto" w:sz="4" w:space="0"/>
              <w:right w:val="single" w:color="auto" w:sz="4" w:space="0"/>
            </w:tcBorders>
            <w:vAlign w:val="center"/>
          </w:tcPr>
          <w:p w14:paraId="270848EF">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资产构成情况及投资参股的关联企业情况</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03E2B9B7">
            <w:pPr>
              <w:topLinePunct/>
              <w:spacing w:line="500" w:lineRule="atLeast"/>
              <w:rPr>
                <w:rFonts w:ascii="Times New Roman" w:hAnsi="Times New Roman" w:eastAsia="仿宋_GB2312"/>
                <w:color w:val="auto"/>
                <w:sz w:val="24"/>
              </w:rPr>
            </w:pPr>
          </w:p>
          <w:p w14:paraId="2BFB607F">
            <w:pPr>
              <w:topLinePunct/>
              <w:spacing w:line="500" w:lineRule="atLeast"/>
              <w:jc w:val="center"/>
              <w:rPr>
                <w:rFonts w:ascii="Times New Roman" w:hAnsi="Times New Roman" w:eastAsia="仿宋_GB2312"/>
                <w:color w:val="auto"/>
                <w:sz w:val="24"/>
              </w:rPr>
            </w:pPr>
          </w:p>
          <w:p w14:paraId="65B1B8C2">
            <w:pPr>
              <w:topLinePunct/>
              <w:spacing w:line="500" w:lineRule="atLeast"/>
              <w:rPr>
                <w:rFonts w:ascii="Times New Roman" w:hAnsi="Times New Roman" w:eastAsia="仿宋_GB2312"/>
                <w:color w:val="auto"/>
                <w:sz w:val="24"/>
              </w:rPr>
            </w:pPr>
          </w:p>
        </w:tc>
      </w:tr>
      <w:tr w14:paraId="287D8728">
        <w:tblPrEx>
          <w:tblBorders>
            <w:top w:val="single" w:color="auto" w:sz="4" w:space="0"/>
            <w:left w:val="single" w:color="auto" w:sz="4" w:space="0"/>
            <w:bottom w:val="single" w:color="auto" w:sz="4" w:space="0"/>
            <w:right w:val="single" w:color="auto" w:sz="4" w:space="0"/>
            <w:insideH w:val="none" w:color="auto" w:sz="0" w:space="0"/>
            <w:insideV w:val="none" w:color="auto" w:sz="0" w:space="0"/>
          </w:tblBorders>
          <w:tblCellMar>
            <w:top w:w="0" w:type="dxa"/>
            <w:left w:w="108" w:type="dxa"/>
            <w:bottom w:w="0" w:type="dxa"/>
            <w:right w:w="108" w:type="dxa"/>
          </w:tblCellMar>
        </w:tblPrEx>
        <w:trPr>
          <w:trHeight w:val="575" w:hRule="atLeast"/>
        </w:trPr>
        <w:tc>
          <w:tcPr>
            <w:tcW w:w="1920" w:type="dxa"/>
            <w:tcBorders>
              <w:top w:val="single" w:color="auto" w:sz="4" w:space="0"/>
              <w:left w:val="single" w:color="auto" w:sz="4" w:space="0"/>
              <w:bottom w:val="single" w:color="auto" w:sz="4" w:space="0"/>
              <w:right w:val="single" w:color="auto" w:sz="4" w:space="0"/>
            </w:tcBorders>
            <w:vAlign w:val="center"/>
          </w:tcPr>
          <w:p w14:paraId="0A4C8B9D">
            <w:pPr>
              <w:topLinePunct/>
              <w:spacing w:line="500" w:lineRule="atLeast"/>
              <w:jc w:val="center"/>
              <w:rPr>
                <w:rFonts w:ascii="Times New Roman" w:hAnsi="Times New Roman" w:eastAsia="仿宋_GB2312"/>
                <w:color w:val="auto"/>
                <w:sz w:val="24"/>
              </w:rPr>
            </w:pPr>
            <w:r>
              <w:rPr>
                <w:rFonts w:ascii="Times New Roman" w:hAnsi="Times New Roman" w:eastAsia="仿宋_GB2312"/>
                <w:color w:val="auto"/>
                <w:sz w:val="24"/>
              </w:rPr>
              <w:t>备注</w:t>
            </w:r>
          </w:p>
        </w:tc>
        <w:tc>
          <w:tcPr>
            <w:tcW w:w="6700" w:type="dxa"/>
            <w:gridSpan w:val="4"/>
            <w:tcBorders>
              <w:top w:val="single" w:color="auto" w:sz="4" w:space="0"/>
              <w:left w:val="single" w:color="auto" w:sz="4" w:space="0"/>
              <w:bottom w:val="single" w:color="auto" w:sz="4" w:space="0"/>
              <w:right w:val="single" w:color="auto" w:sz="4" w:space="0"/>
            </w:tcBorders>
            <w:vAlign w:val="center"/>
          </w:tcPr>
          <w:p w14:paraId="3594CCB2">
            <w:pPr>
              <w:topLinePunct/>
              <w:spacing w:line="500" w:lineRule="atLeast"/>
              <w:jc w:val="center"/>
              <w:rPr>
                <w:rFonts w:ascii="Times New Roman" w:hAnsi="Times New Roman" w:eastAsia="仿宋_GB2312"/>
                <w:color w:val="auto"/>
                <w:sz w:val="24"/>
              </w:rPr>
            </w:pPr>
          </w:p>
        </w:tc>
      </w:tr>
    </w:tbl>
    <w:p w14:paraId="72B6CFBC">
      <w:pPr>
        <w:widowControl/>
        <w:autoSpaceDE w:val="0"/>
        <w:autoSpaceDN w:val="0"/>
        <w:spacing w:line="500" w:lineRule="atLeast"/>
        <w:ind w:left="180"/>
        <w:textAlignment w:val="bottom"/>
        <w:rPr>
          <w:rFonts w:ascii="Times New Roman" w:hAnsi="Times New Roman" w:eastAsia="黑体"/>
          <w:color w:val="auto"/>
          <w:szCs w:val="21"/>
        </w:rPr>
      </w:pPr>
      <w:r>
        <w:rPr>
          <w:rFonts w:ascii="Times New Roman" w:hAnsi="Times New Roman" w:eastAsia="仿宋_GB2312"/>
          <w:color w:val="auto"/>
          <w:sz w:val="28"/>
          <w:szCs w:val="28"/>
        </w:rPr>
        <w:t>注：在本表后应附企业法人营业执照、资质证书（如有）、授权代理证明材料（如有）及资格审查要求的其他证件复印件并加盖公章。</w:t>
      </w:r>
    </w:p>
    <w:p w14:paraId="6A4C6711">
      <w:pPr>
        <w:tabs>
          <w:tab w:val="left" w:pos="3060"/>
        </w:tabs>
        <w:topLinePunct/>
        <w:spacing w:line="600" w:lineRule="exact"/>
        <w:jc w:val="center"/>
        <w:rPr>
          <w:rFonts w:ascii="Times New Roman" w:hAnsi="Times New Roman" w:eastAsia="方正小标宋简体"/>
          <w:color w:val="auto"/>
          <w:sz w:val="28"/>
          <w:szCs w:val="28"/>
        </w:rPr>
      </w:pPr>
      <w:r>
        <w:rPr>
          <w:rFonts w:ascii="Times New Roman" w:hAnsi="Times New Roman" w:eastAsia="黑体"/>
          <w:color w:val="auto"/>
          <w:sz w:val="28"/>
          <w:szCs w:val="28"/>
        </w:rPr>
        <w:br w:type="page"/>
      </w:r>
      <w:bookmarkStart w:id="201" w:name="_Toc3772_WPSOffice_Level1"/>
      <w:bookmarkStart w:id="202" w:name="_Toc18547_WPSOffice_Level1"/>
      <w:bookmarkStart w:id="203" w:name="_Toc1102_WPSOffice_Level1"/>
      <w:bookmarkStart w:id="204" w:name="_Toc20943_WPSOffice_Level1"/>
      <w:bookmarkStart w:id="205" w:name="_Toc17671_WPSOffice_Level1"/>
      <w:bookmarkStart w:id="206" w:name="_Toc19004_WPSOffice_Level1"/>
      <w:bookmarkStart w:id="207" w:name="_Toc5072_WPSOffice_Level1"/>
      <w:bookmarkStart w:id="208" w:name="_Toc24551_WPSOffice_Level1"/>
      <w:r>
        <w:rPr>
          <w:rFonts w:ascii="Times New Roman" w:hAnsi="Times New Roman" w:eastAsia="微软雅黑"/>
          <w:color w:val="auto"/>
          <w:sz w:val="44"/>
          <w:szCs w:val="44"/>
        </w:rPr>
        <w:t>五、</w:t>
      </w:r>
      <w:bookmarkEnd w:id="201"/>
      <w:bookmarkEnd w:id="202"/>
      <w:bookmarkEnd w:id="203"/>
      <w:bookmarkEnd w:id="204"/>
      <w:bookmarkEnd w:id="205"/>
      <w:bookmarkEnd w:id="206"/>
      <w:bookmarkEnd w:id="207"/>
      <w:bookmarkEnd w:id="208"/>
      <w:bookmarkStart w:id="209" w:name="_Toc3893_WPSOffice_Level1"/>
      <w:bookmarkStart w:id="210" w:name="_Toc32222_WPSOffice_Level1"/>
      <w:bookmarkStart w:id="211" w:name="_Toc12019_WPSOffice_Level1"/>
      <w:bookmarkStart w:id="212" w:name="_Toc5403_WPSOffice_Level1"/>
      <w:bookmarkStart w:id="213" w:name="_Toc9267_WPSOffice_Level1"/>
      <w:r>
        <w:rPr>
          <w:rFonts w:ascii="Times New Roman" w:hAnsi="Times New Roman" w:eastAsia="微软雅黑"/>
          <w:color w:val="auto"/>
          <w:sz w:val="44"/>
          <w:szCs w:val="44"/>
        </w:rPr>
        <w:t>信誉情况</w:t>
      </w:r>
      <w:bookmarkEnd w:id="209"/>
      <w:bookmarkEnd w:id="210"/>
      <w:bookmarkEnd w:id="211"/>
      <w:bookmarkEnd w:id="212"/>
      <w:bookmarkEnd w:id="213"/>
    </w:p>
    <w:p w14:paraId="101AD61D">
      <w:pPr>
        <w:topLinePunct/>
        <w:spacing w:line="440" w:lineRule="exact"/>
        <w:rPr>
          <w:rFonts w:ascii="Times New Roman" w:hAnsi="Times New Roman"/>
          <w:bCs/>
          <w:color w:val="auto"/>
          <w:sz w:val="23"/>
          <w:szCs w:val="23"/>
        </w:rPr>
      </w:pPr>
    </w:p>
    <w:tbl>
      <w:tblPr>
        <w:tblStyle w:val="20"/>
        <w:tblW w:w="8522"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4077"/>
        <w:gridCol w:w="4445"/>
      </w:tblGrid>
      <w:tr w14:paraId="708FBE8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4077" w:type="dxa"/>
          </w:tcPr>
          <w:p w14:paraId="7094CF54">
            <w:pPr>
              <w:topLinePunct/>
              <w:spacing w:line="440" w:lineRule="exact"/>
              <w:jc w:val="center"/>
              <w:rPr>
                <w:rFonts w:ascii="Times New Roman" w:hAnsi="Times New Roman" w:eastAsia="仿宋_GB2312"/>
                <w:bCs/>
                <w:color w:val="auto"/>
                <w:sz w:val="24"/>
              </w:rPr>
            </w:pPr>
            <w:r>
              <w:rPr>
                <w:rFonts w:ascii="Times New Roman" w:hAnsi="Times New Roman" w:eastAsia="仿宋_GB2312"/>
                <w:bCs/>
                <w:color w:val="auto"/>
                <w:sz w:val="24"/>
              </w:rPr>
              <w:t>项 目</w:t>
            </w:r>
          </w:p>
        </w:tc>
        <w:tc>
          <w:tcPr>
            <w:tcW w:w="4445" w:type="dxa"/>
          </w:tcPr>
          <w:p w14:paraId="17E2BD95">
            <w:pPr>
              <w:topLinePunct/>
              <w:spacing w:line="440" w:lineRule="exact"/>
              <w:jc w:val="center"/>
              <w:rPr>
                <w:rFonts w:ascii="Times New Roman" w:hAnsi="Times New Roman" w:eastAsia="仿宋_GB2312"/>
                <w:bCs/>
                <w:color w:val="auto"/>
                <w:sz w:val="24"/>
              </w:rPr>
            </w:pPr>
            <w:r>
              <w:rPr>
                <w:rFonts w:ascii="Times New Roman" w:hAnsi="Times New Roman" w:eastAsia="仿宋_GB2312"/>
                <w:bCs/>
                <w:color w:val="auto"/>
                <w:sz w:val="24"/>
              </w:rPr>
              <w:t>供应商情况说明</w:t>
            </w:r>
          </w:p>
        </w:tc>
      </w:tr>
      <w:tr w14:paraId="04280C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558DA3ED">
            <w:pPr>
              <w:topLinePunct/>
              <w:spacing w:line="440" w:lineRule="exact"/>
              <w:rPr>
                <w:rFonts w:ascii="Times New Roman" w:hAnsi="Times New Roman" w:eastAsia="仿宋_GB2312"/>
                <w:bCs/>
                <w:color w:val="auto"/>
                <w:sz w:val="24"/>
              </w:rPr>
            </w:pPr>
            <w:r>
              <w:rPr>
                <w:rFonts w:ascii="Times New Roman" w:hAnsi="Times New Roman" w:eastAsia="仿宋_GB2312"/>
                <w:color w:val="auto"/>
                <w:sz w:val="24"/>
              </w:rPr>
              <w:t>是否被责令停业，暂扣或吊销执照，或吊销资质证书</w:t>
            </w:r>
          </w:p>
        </w:tc>
        <w:tc>
          <w:tcPr>
            <w:tcW w:w="4445" w:type="dxa"/>
          </w:tcPr>
          <w:p w14:paraId="35D6953D">
            <w:pPr>
              <w:topLinePunct/>
              <w:spacing w:line="440" w:lineRule="exact"/>
              <w:rPr>
                <w:rFonts w:ascii="Times New Roman" w:hAnsi="Times New Roman" w:eastAsia="仿宋_GB2312"/>
                <w:bCs/>
                <w:color w:val="auto"/>
                <w:sz w:val="24"/>
              </w:rPr>
            </w:pPr>
          </w:p>
        </w:tc>
      </w:tr>
      <w:tr w14:paraId="1AF3D4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0F6E54E1">
            <w:pPr>
              <w:topLinePunct/>
              <w:spacing w:line="440" w:lineRule="exact"/>
              <w:rPr>
                <w:rFonts w:ascii="Times New Roman" w:hAnsi="Times New Roman" w:eastAsia="仿宋_GB2312"/>
                <w:bCs/>
                <w:color w:val="auto"/>
                <w:sz w:val="24"/>
              </w:rPr>
            </w:pPr>
            <w:r>
              <w:rPr>
                <w:rFonts w:ascii="Times New Roman" w:hAnsi="Times New Roman" w:eastAsia="仿宋_GB2312"/>
                <w:color w:val="auto"/>
                <w:sz w:val="24"/>
              </w:rPr>
              <w:t>是否进入清算程序，或被宣告破产，或其他丧失履约能力的情形</w:t>
            </w:r>
          </w:p>
        </w:tc>
        <w:tc>
          <w:tcPr>
            <w:tcW w:w="4445" w:type="dxa"/>
          </w:tcPr>
          <w:p w14:paraId="16BAE51A">
            <w:pPr>
              <w:topLinePunct/>
              <w:spacing w:line="440" w:lineRule="exact"/>
              <w:rPr>
                <w:rFonts w:ascii="Times New Roman" w:hAnsi="Times New Roman" w:eastAsia="仿宋_GB2312"/>
                <w:bCs/>
                <w:color w:val="auto"/>
                <w:sz w:val="24"/>
              </w:rPr>
            </w:pPr>
          </w:p>
        </w:tc>
      </w:tr>
      <w:tr w14:paraId="10BF28C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171D22D2">
            <w:pPr>
              <w:topLinePunct/>
              <w:spacing w:line="440" w:lineRule="exact"/>
              <w:rPr>
                <w:rFonts w:ascii="Times New Roman" w:hAnsi="Times New Roman" w:eastAsia="仿宋_GB2312"/>
                <w:bCs/>
                <w:color w:val="auto"/>
                <w:sz w:val="24"/>
              </w:rPr>
            </w:pPr>
            <w:r>
              <w:rPr>
                <w:rFonts w:ascii="Times New Roman" w:hAnsi="Times New Roman" w:eastAsia="仿宋_GB2312"/>
                <w:color w:val="auto"/>
                <w:sz w:val="24"/>
              </w:rPr>
              <w:t>是否在国家企业信用信息公示系统（http://www.gsxt.gov.cn）中被列入严重违法失信企业名单</w:t>
            </w:r>
          </w:p>
        </w:tc>
        <w:tc>
          <w:tcPr>
            <w:tcW w:w="4445" w:type="dxa"/>
          </w:tcPr>
          <w:p w14:paraId="53CD944D">
            <w:pPr>
              <w:topLinePunct/>
              <w:spacing w:line="440" w:lineRule="exact"/>
              <w:rPr>
                <w:rFonts w:ascii="Times New Roman" w:hAnsi="Times New Roman" w:eastAsia="仿宋_GB2312"/>
                <w:bCs/>
                <w:color w:val="auto"/>
                <w:sz w:val="24"/>
              </w:rPr>
            </w:pPr>
          </w:p>
        </w:tc>
      </w:tr>
      <w:tr w14:paraId="3C5395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108C868E">
            <w:pPr>
              <w:topLinePunct/>
              <w:spacing w:line="440" w:lineRule="exact"/>
              <w:rPr>
                <w:rFonts w:ascii="Times New Roman" w:hAnsi="Times New Roman" w:eastAsia="仿宋_GB2312"/>
                <w:bCs/>
                <w:color w:val="auto"/>
                <w:sz w:val="24"/>
              </w:rPr>
            </w:pPr>
            <w:r>
              <w:rPr>
                <w:rFonts w:ascii="Times New Roman" w:hAnsi="Times New Roman" w:eastAsia="仿宋_GB2312"/>
                <w:color w:val="auto"/>
                <w:sz w:val="24"/>
              </w:rPr>
              <w:t>是否在中国执行信息公开网（http://zxgk.court.gov.cn/index.jsp）中被列入失信被执行人名单</w:t>
            </w:r>
          </w:p>
        </w:tc>
        <w:tc>
          <w:tcPr>
            <w:tcW w:w="4445" w:type="dxa"/>
          </w:tcPr>
          <w:p w14:paraId="7A12BFC3">
            <w:pPr>
              <w:topLinePunct/>
              <w:spacing w:line="440" w:lineRule="exact"/>
              <w:rPr>
                <w:rFonts w:ascii="Times New Roman" w:hAnsi="Times New Roman" w:eastAsia="仿宋_GB2312"/>
                <w:bCs/>
                <w:color w:val="auto"/>
                <w:sz w:val="24"/>
              </w:rPr>
            </w:pPr>
          </w:p>
        </w:tc>
      </w:tr>
      <w:tr w14:paraId="3C3B177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6D936F61">
            <w:pPr>
              <w:topLinePunct/>
              <w:spacing w:line="440" w:lineRule="exact"/>
              <w:rPr>
                <w:rFonts w:ascii="Times New Roman" w:hAnsi="Times New Roman" w:eastAsia="仿宋_GB2312"/>
                <w:bCs/>
                <w:color w:val="auto"/>
                <w:sz w:val="24"/>
              </w:rPr>
            </w:pPr>
            <w:r>
              <w:rPr>
                <w:rFonts w:ascii="Times New Roman" w:hAnsi="Times New Roman" w:eastAsia="仿宋_GB2312"/>
                <w:color w:val="auto"/>
                <w:sz w:val="24"/>
              </w:rPr>
              <w:t>是否在近三年内（自响应文件递交截止之日向前追溯3年）供应商或其法定代表人、拟委任的项目负责人有行贿犯罪行为</w:t>
            </w:r>
          </w:p>
        </w:tc>
        <w:tc>
          <w:tcPr>
            <w:tcW w:w="4445" w:type="dxa"/>
          </w:tcPr>
          <w:p w14:paraId="4C24D639">
            <w:pPr>
              <w:topLinePunct/>
              <w:spacing w:line="440" w:lineRule="exact"/>
              <w:rPr>
                <w:rFonts w:ascii="Times New Roman" w:hAnsi="Times New Roman" w:eastAsia="仿宋_GB2312"/>
                <w:bCs/>
                <w:color w:val="auto"/>
                <w:sz w:val="24"/>
              </w:rPr>
            </w:pPr>
          </w:p>
        </w:tc>
      </w:tr>
      <w:tr w14:paraId="5797EA5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51" w:hRule="atLeast"/>
        </w:trPr>
        <w:tc>
          <w:tcPr>
            <w:tcW w:w="4077" w:type="dxa"/>
            <w:vAlign w:val="center"/>
          </w:tcPr>
          <w:p w14:paraId="41FFB9AC">
            <w:pPr>
              <w:topLinePunct/>
              <w:spacing w:line="440" w:lineRule="exact"/>
              <w:rPr>
                <w:rFonts w:ascii="Times New Roman" w:hAnsi="Times New Roman" w:eastAsia="仿宋_GB2312"/>
                <w:color w:val="auto"/>
                <w:sz w:val="24"/>
              </w:rPr>
            </w:pPr>
            <w:r>
              <w:rPr>
                <w:rFonts w:ascii="Times New Roman" w:hAnsi="Times New Roman" w:eastAsia="仿宋_GB2312"/>
                <w:color w:val="auto"/>
                <w:sz w:val="24"/>
              </w:rPr>
              <w:t>……</w:t>
            </w:r>
          </w:p>
        </w:tc>
        <w:tc>
          <w:tcPr>
            <w:tcW w:w="4445" w:type="dxa"/>
          </w:tcPr>
          <w:p w14:paraId="0A82D0FB">
            <w:pPr>
              <w:topLinePunct/>
              <w:spacing w:line="440" w:lineRule="exact"/>
              <w:rPr>
                <w:rFonts w:ascii="Times New Roman" w:hAnsi="Times New Roman" w:eastAsia="仿宋_GB2312"/>
                <w:bCs/>
                <w:color w:val="auto"/>
                <w:sz w:val="24"/>
              </w:rPr>
            </w:pPr>
          </w:p>
        </w:tc>
      </w:tr>
    </w:tbl>
    <w:p w14:paraId="7A055461">
      <w:pPr>
        <w:spacing w:line="440" w:lineRule="exact"/>
        <w:jc w:val="left"/>
        <w:rPr>
          <w:rFonts w:ascii="Times New Roman" w:hAnsi="Times New Roman" w:eastAsia="仿宋_GB2312"/>
          <w:color w:val="auto"/>
          <w:sz w:val="24"/>
        </w:rPr>
      </w:pPr>
      <w:r>
        <w:rPr>
          <w:rFonts w:ascii="Times New Roman" w:hAnsi="Times New Roman" w:eastAsia="仿宋_GB2312"/>
          <w:color w:val="auto"/>
          <w:sz w:val="24"/>
        </w:rPr>
        <w:t>注：本表无需附证明材料。</w:t>
      </w:r>
    </w:p>
    <w:p w14:paraId="39831276">
      <w:pPr>
        <w:spacing w:after="120"/>
        <w:jc w:val="right"/>
        <w:rPr>
          <w:rFonts w:ascii="Times New Roman" w:hAnsi="Times New Roman" w:eastAsia="仿宋_GB2312"/>
          <w:color w:val="auto"/>
          <w:sz w:val="24"/>
        </w:rPr>
      </w:pPr>
    </w:p>
    <w:p w14:paraId="74681134">
      <w:pPr>
        <w:spacing w:line="440" w:lineRule="exact"/>
        <w:jc w:val="right"/>
        <w:rPr>
          <w:rFonts w:ascii="Times New Roman" w:hAnsi="Times New Roman" w:eastAsia="仿宋_GB2312"/>
          <w:color w:val="auto"/>
          <w:sz w:val="24"/>
        </w:rPr>
      </w:pPr>
      <w:r>
        <w:rPr>
          <w:rFonts w:ascii="Times New Roman" w:hAnsi="Times New Roman" w:eastAsia="仿宋_GB2312"/>
          <w:color w:val="auto"/>
          <w:sz w:val="24"/>
        </w:rPr>
        <w:t xml:space="preserve"> 供应商：</w:t>
      </w:r>
      <w:r>
        <w:rPr>
          <w:rFonts w:ascii="Times New Roman" w:hAnsi="Times New Roman" w:eastAsia="仿宋_GB2312"/>
          <w:color w:val="auto"/>
          <w:sz w:val="24"/>
          <w:u w:val="single"/>
        </w:rPr>
        <w:t xml:space="preserve">                 </w:t>
      </w:r>
      <w:r>
        <w:rPr>
          <w:rFonts w:ascii="Times New Roman" w:hAnsi="Times New Roman" w:eastAsia="仿宋_GB2312"/>
          <w:color w:val="auto"/>
          <w:sz w:val="24"/>
        </w:rPr>
        <w:t>(盖单位章)</w:t>
      </w:r>
    </w:p>
    <w:p w14:paraId="5768FE03">
      <w:pPr>
        <w:jc w:val="right"/>
        <w:rPr>
          <w:rFonts w:ascii="Times New Roman" w:hAnsi="Times New Roman" w:eastAsia="仿宋_GB2312"/>
          <w:color w:val="auto"/>
          <w:sz w:val="24"/>
        </w:rPr>
        <w:sectPr>
          <w:headerReference r:id="rId13" w:type="default"/>
          <w:footerReference r:id="rId14" w:type="default"/>
          <w:pgSz w:w="11906" w:h="16838"/>
          <w:pgMar w:top="1440" w:right="1800" w:bottom="1440" w:left="1800" w:header="851" w:footer="992" w:gutter="0"/>
          <w:cols w:space="720" w:num="1"/>
          <w:docGrid w:type="lines" w:linePitch="312" w:charSpace="0"/>
        </w:sectPr>
      </w:pPr>
      <w:r>
        <w:rPr>
          <w:rFonts w:ascii="Times New Roman" w:hAnsi="Times New Roman" w:eastAsia="仿宋_GB2312"/>
          <w:color w:val="auto"/>
          <w:sz w:val="24"/>
          <w:u w:val="single"/>
        </w:rPr>
        <w:t xml:space="preserve">       </w:t>
      </w:r>
      <w:r>
        <w:rPr>
          <w:rFonts w:ascii="Times New Roman" w:hAnsi="Times New Roman" w:eastAsia="仿宋_GB2312"/>
          <w:color w:val="auto"/>
          <w:sz w:val="24"/>
        </w:rPr>
        <w:t xml:space="preserve">年 </w:t>
      </w:r>
      <w:r>
        <w:rPr>
          <w:rFonts w:ascii="Times New Roman" w:hAnsi="Times New Roman" w:eastAsia="仿宋_GB2312"/>
          <w:color w:val="auto"/>
          <w:sz w:val="24"/>
          <w:u w:val="single"/>
        </w:rPr>
        <w:t xml:space="preserve">      </w:t>
      </w:r>
      <w:r>
        <w:rPr>
          <w:rFonts w:ascii="Times New Roman" w:hAnsi="Times New Roman" w:eastAsia="仿宋_GB2312"/>
          <w:color w:val="auto"/>
          <w:sz w:val="24"/>
        </w:rPr>
        <w:t>月</w:t>
      </w:r>
      <w:r>
        <w:rPr>
          <w:rFonts w:ascii="Times New Roman" w:hAnsi="Times New Roman" w:eastAsia="仿宋_GB2312"/>
          <w:color w:val="auto"/>
          <w:sz w:val="24"/>
          <w:u w:val="single"/>
        </w:rPr>
        <w:t xml:space="preserve">       </w:t>
      </w:r>
      <w:r>
        <w:rPr>
          <w:rFonts w:ascii="Times New Roman" w:hAnsi="Times New Roman" w:eastAsia="仿宋_GB2312"/>
          <w:color w:val="auto"/>
          <w:sz w:val="24"/>
        </w:rPr>
        <w:t>日</w:t>
      </w:r>
    </w:p>
    <w:p w14:paraId="71E59852">
      <w:pPr>
        <w:jc w:val="center"/>
        <w:rPr>
          <w:rFonts w:ascii="Times New Roman" w:hAnsi="Times New Roman" w:eastAsia="微软雅黑"/>
          <w:color w:val="auto"/>
          <w:sz w:val="44"/>
          <w:szCs w:val="44"/>
        </w:rPr>
      </w:pPr>
      <w:r>
        <w:rPr>
          <w:rFonts w:ascii="Times New Roman" w:hAnsi="Times New Roman" w:eastAsia="微软雅黑"/>
          <w:color w:val="auto"/>
          <w:sz w:val="44"/>
          <w:szCs w:val="44"/>
        </w:rPr>
        <w:t>六、全屋柜类定制设计方案</w:t>
      </w:r>
    </w:p>
    <w:p w14:paraId="10117CD3">
      <w:pPr>
        <w:spacing w:line="440" w:lineRule="exact"/>
        <w:ind w:firstLine="480" w:firstLineChars="200"/>
        <w:rPr>
          <w:rFonts w:ascii="Times New Roman" w:hAnsi="Times New Roman"/>
          <w:color w:val="auto"/>
        </w:rPr>
      </w:pPr>
      <w:r>
        <w:rPr>
          <w:rFonts w:ascii="Times New Roman" w:hAnsi="Times New Roman" w:eastAsia="仿宋_GB2312"/>
          <w:color w:val="auto"/>
          <w:sz w:val="24"/>
        </w:rPr>
        <w:t>供应商应结合本询比文件第三章所载明的评分因素的细分项要求按本项目特点编制全屋柜类定制设计方案。</w:t>
      </w:r>
    </w:p>
    <w:sectPr>
      <w:headerReference r:id="rId15" w:type="default"/>
      <w:footerReference r:id="rId16" w:type="default"/>
      <w:pgSz w:w="11906" w:h="16838"/>
      <w:pgMar w:top="1440" w:right="1800" w:bottom="1440" w:left="1800" w:header="851" w:footer="992" w:gutter="0"/>
      <w:cols w:space="72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embedRegular r:id="rId1" w:fontKey="{42C45BBC-AE42-4C9B-92FB-C82F0F824E27}"/>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微软雅黑">
    <w:panose1 w:val="020B0503020204020204"/>
    <w:charset w:val="86"/>
    <w:family w:val="swiss"/>
    <w:pitch w:val="default"/>
    <w:sig w:usb0="80000287" w:usb1="2ACF3C50" w:usb2="00000016" w:usb3="00000000" w:csb0="0004001F" w:csb1="00000000"/>
    <w:embedRegular r:id="rId2" w:fontKey="{400B0121-4371-4B32-97BB-A3591D265C1F}"/>
  </w:font>
  <w:font w:name="仿宋_GB2312">
    <w:panose1 w:val="02010609030101010101"/>
    <w:charset w:val="86"/>
    <w:family w:val="modern"/>
    <w:pitch w:val="default"/>
    <w:sig w:usb0="00000001" w:usb1="080E0000" w:usb2="00000000" w:usb3="00000000" w:csb0="00040000" w:csb1="00000000"/>
    <w:embedRegular r:id="rId3" w:fontKey="{16D5963A-C79A-4B57-9CC0-BE13B4763F9C}"/>
  </w:font>
  <w:font w:name="华文细黑">
    <w:panose1 w:val="02010600040101010101"/>
    <w:charset w:val="86"/>
    <w:family w:val="auto"/>
    <w:pitch w:val="default"/>
    <w:sig w:usb0="00000287" w:usb1="080F0000" w:usb2="00000000" w:usb3="00000000" w:csb0="0004009F" w:csb1="DFD70000"/>
  </w:font>
  <w:font w:name="Fang Song">
    <w:altName w:val="宋体"/>
    <w:panose1 w:val="00000000000000000000"/>
    <w:charset w:val="86"/>
    <w:family w:val="modern"/>
    <w:pitch w:val="default"/>
    <w:sig w:usb0="00000000" w:usb1="00000000" w:usb2="00000000" w:usb3="00000000" w:csb0="00040000" w:csb1="00000000"/>
  </w:font>
  <w:font w:name="方正宋一简体">
    <w:altName w:val="宋体"/>
    <w:panose1 w:val="00000000000000000000"/>
    <w:charset w:val="00"/>
    <w:family w:val="script"/>
    <w:pitch w:val="default"/>
    <w:sig w:usb0="00000000" w:usb1="00000000" w:usb2="00000000" w:usb3="00000000" w:csb0="00040001" w:csb1="00000000"/>
  </w:font>
  <w:font w:name="Segoe UI">
    <w:panose1 w:val="020B0502040204020203"/>
    <w:charset w:val="00"/>
    <w:family w:val="swiss"/>
    <w:pitch w:val="default"/>
    <w:sig w:usb0="E4002EFF" w:usb1="C000E47F" w:usb2="00000009" w:usb3="00000000" w:csb0="200001FF" w:csb1="00000000"/>
    <w:embedRegular r:id="rId4" w:fontKey="{5E481D89-0C1C-4CD3-B75B-145D5AB48B55}"/>
  </w:font>
  <w:font w:name="方正小标宋简体">
    <w:panose1 w:val="03000509000000000000"/>
    <w:charset w:val="86"/>
    <w:family w:val="script"/>
    <w:pitch w:val="default"/>
    <w:sig w:usb0="00000001" w:usb1="080E0000" w:usb2="00000000" w:usb3="00000000" w:csb0="00040000" w:csb1="00000000"/>
    <w:embedRegular r:id="rId5" w:fontKey="{6AA25E62-4AEA-4D10-A044-9E934ABD6F61}"/>
  </w:font>
  <w:font w:name="方正小标宋_GBK">
    <w:panose1 w:val="03000509000000000000"/>
    <w:charset w:val="86"/>
    <w:family w:val="auto"/>
    <w:pitch w:val="default"/>
    <w:sig w:usb0="00000001" w:usb1="080E0000" w:usb2="00000000" w:usb3="00000000" w:csb0="00040000" w:csb1="00000000"/>
    <w:embedRegular r:id="rId6" w:fontKey="{A492B728-B187-4C8D-BF72-FDB00D98D9AF}"/>
  </w:font>
  <w:font w:name="Wingdings 2">
    <w:panose1 w:val="05020102010507070707"/>
    <w:charset w:val="02"/>
    <w:family w:val="roman"/>
    <w:pitch w:val="default"/>
    <w:sig w:usb0="00000000" w:usb1="00000000" w:usb2="00000000" w:usb3="00000000" w:csb0="80000000" w:csb1="00000000"/>
    <w:embedRegular r:id="rId7" w:fontKey="{7EDEF239-018B-43EF-96C2-E3663A356879}"/>
  </w:font>
  <w:font w:name="仿宋">
    <w:panose1 w:val="02010609060101010101"/>
    <w:charset w:val="86"/>
    <w:family w:val="modern"/>
    <w:pitch w:val="default"/>
    <w:sig w:usb0="800002BF" w:usb1="38CF7CFA" w:usb2="00000016" w:usb3="00000000" w:csb0="00040001" w:csb1="00000000"/>
    <w:embedRegular r:id="rId8" w:fontKey="{F77E551B-4222-4866-824A-6DA716110D7A}"/>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A4A4F5">
    <w:pPr>
      <w:pStyle w:val="13"/>
      <w:ind w:firstLine="360"/>
    </w:pPr>
    <w: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58420" cy="139700"/>
              <wp:effectExtent l="0" t="0" r="0" b="0"/>
              <wp:wrapNone/>
              <wp:docPr id="1515172841" name="文本框 43"/>
              <wp:cNvGraphicFramePr/>
              <a:graphic xmlns:a="http://schemas.openxmlformats.org/drawingml/2006/main">
                <a:graphicData uri="http://schemas.microsoft.com/office/word/2010/wordprocessingShape">
                  <wps:wsp>
                    <wps:cNvSpPr txBox="1">
                      <a:spLocks noChangeArrowheads="1"/>
                    </wps:cNvSpPr>
                    <wps:spPr bwMode="auto">
                      <a:xfrm>
                        <a:off x="0" y="0"/>
                        <a:ext cx="58420" cy="139700"/>
                      </a:xfrm>
                      <a:prstGeom prst="rect">
                        <a:avLst/>
                      </a:prstGeom>
                      <a:noFill/>
                      <a:ln>
                        <a:noFill/>
                      </a:ln>
                      <a:effectLst/>
                    </wps:spPr>
                    <wps:txbx>
                      <w:txbxContent>
                        <w:p w14:paraId="25F96204">
                          <w:pPr>
                            <w:pStyle w:val="13"/>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文本框 43" o:spid="_x0000_s1026" o:spt="202" type="#_x0000_t202" style="position:absolute;left:0pt;margin-top:0pt;height:11pt;width:4.6pt;mso-position-horizontal:center;mso-position-horizontal-relative:margin;mso-wrap-style:none;z-index:251661312;mso-width-relative:page;mso-height-relative:page;" filled="f" stroked="f" coordsize="21600,21600" o:gfxdata="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MtbuXfQAAAAAgEAAA8AAAAAAAAAAQAg&#10;AAAAIgAAAGRycy9kb3ducmV2LnhtbFBLAQIUABQAAAAIAIdO4kAxWZqDFgIAABkEAAAOAAAAAAAA&#10;AAEAIAAAAB8BAABkcnMvZTJvRG9jLnhtbFBLBQYAAAAABgAGAFkBAACnBQAAAAA=&#10;">
              <v:fill on="f" focussize="0,0"/>
              <v:stroke on="f"/>
              <v:imagedata o:title=""/>
              <o:lock v:ext="edit" aspectratio="f"/>
              <v:textbox inset="0mm,0mm,0mm,0mm" style="mso-fit-shape-to-text:t;">
                <w:txbxContent>
                  <w:p w14:paraId="25F96204">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1625C0C">
    <w:pPr>
      <w:pStyle w:val="13"/>
      <w:ind w:firstLine="360"/>
      <w:jc w:val="center"/>
    </w:pPr>
    <w: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287020" cy="139700"/>
              <wp:effectExtent l="0" t="0" r="0" b="0"/>
              <wp:wrapNone/>
              <wp:docPr id="464837001" name="文本框 2"/>
              <wp:cNvGraphicFramePr/>
              <a:graphic xmlns:a="http://schemas.openxmlformats.org/drawingml/2006/main">
                <a:graphicData uri="http://schemas.microsoft.com/office/word/2010/wordprocessingShape">
                  <wps:wsp>
                    <wps:cNvSpPr txBox="1">
                      <a:spLocks noChangeArrowheads="1"/>
                    </wps:cNvSpPr>
                    <wps:spPr bwMode="auto">
                      <a:xfrm>
                        <a:off x="0" y="0"/>
                        <a:ext cx="287020" cy="139700"/>
                      </a:xfrm>
                      <a:prstGeom prst="rect">
                        <a:avLst/>
                      </a:prstGeom>
                      <a:noFill/>
                      <a:ln>
                        <a:noFill/>
                      </a:ln>
                      <a:effectLst/>
                    </wps:spPr>
                    <wps:txbx>
                      <w:txbxContent>
                        <w:p w14:paraId="7851DDA4">
                          <w:pPr>
                            <w:pStyle w:val="13"/>
                            <w:ind w:firstLine="360"/>
                          </w:pPr>
                          <w:r>
                            <w:rPr>
                              <w:rFonts w:hint="eastAsia"/>
                            </w:rPr>
                            <w:fldChar w:fldCharType="begin"/>
                          </w:r>
                          <w:r>
                            <w:rPr>
                              <w:rFonts w:hint="eastAsia"/>
                            </w:rPr>
                            <w:instrText xml:space="preserve"> PAGE  \* MERGEFORMAT </w:instrText>
                          </w:r>
                          <w:r>
                            <w:rPr>
                              <w:rFonts w:hint="eastAsia"/>
                            </w:rPr>
                            <w:fldChar w:fldCharType="separate"/>
                          </w:r>
                          <w:r>
                            <w:t>37</w:t>
                          </w:r>
                          <w:r>
                            <w:rPr>
                              <w:rFonts w:hint="eastAsia"/>
                            </w:rPr>
                            <w:fldChar w:fldCharType="end"/>
                          </w:r>
                        </w:p>
                      </w:txbxContent>
                    </wps:txbx>
                    <wps:bodyPr rot="0" vert="horz" wrap="none" lIns="0" tIns="0" rIns="0" bIns="0" anchor="t" anchorCtr="0" upright="1">
                      <a:spAutoFit/>
                    </wps:bodyPr>
                  </wps:wsp>
                </a:graphicData>
              </a:graphic>
            </wp:anchor>
          </w:drawing>
        </mc:Choice>
        <mc:Fallback>
          <w:pict>
            <v:shape id="文本框 2" o:spid="_x0000_s1026" o:spt="202" type="#_x0000_t202" style="position:absolute;left:0pt;margin-top:0pt;height:11pt;width:22.6pt;mso-position-horizontal:center;mso-position-horizontal-relative:margin;mso-wrap-style:none;z-index:251659264;mso-width-relative:page;mso-height-relative:page;" filled="f" stroked="f" coordsize="21600,21600" o:gfxdata="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">
              <v:fill on="f" focussize="0,0"/>
              <v:stroke on="f"/>
              <v:imagedata o:title=""/>
              <o:lock v:ext="edit" aspectratio="f"/>
              <v:textbox inset="0mm,0mm,0mm,0mm" style="mso-fit-shape-to-text:t;">
                <w:txbxContent>
                  <w:p w14:paraId="7851DDA4">
                    <w:pPr>
                      <w:pStyle w:val="13"/>
                      <w:ind w:firstLine="360"/>
                    </w:pPr>
                    <w:r>
                      <w:rPr>
                        <w:rFonts w:hint="eastAsia"/>
                      </w:rPr>
                      <w:fldChar w:fldCharType="begin"/>
                    </w:r>
                    <w:r>
                      <w:rPr>
                        <w:rFonts w:hint="eastAsia"/>
                      </w:rPr>
                      <w:instrText xml:space="preserve"> PAGE  \* MERGEFORMAT </w:instrText>
                    </w:r>
                    <w:r>
                      <w:rPr>
                        <w:rFonts w:hint="eastAsia"/>
                      </w:rPr>
                      <w:fldChar w:fldCharType="separate"/>
                    </w:r>
                    <w:r>
                      <w:t>37</w:t>
                    </w:r>
                    <w:r>
                      <w:rPr>
                        <w:rFonts w:hint="eastAsia"/>
                      </w:rPr>
                      <w:fldChar w:fldCharType="end"/>
                    </w:r>
                  </w:p>
                </w:txbxContent>
              </v:textbox>
            </v:shape>
          </w:pict>
        </mc:Fallback>
      </mc:AlternateContent>
    </w:r>
  </w:p>
  <w:p w14:paraId="65722C92">
    <w:pPr>
      <w:pStyle w:val="13"/>
      <w:ind w:firstLine="360"/>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B5F74C">
    <w:pPr>
      <w:pStyle w:val="13"/>
      <w:ind w:firstLine="360"/>
    </w:pPr>
    <w: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16205" cy="139700"/>
              <wp:effectExtent l="0" t="0" r="0" b="0"/>
              <wp:wrapNone/>
              <wp:docPr id="221611937" name="文本框 34"/>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574C33D1">
                          <w:pPr>
                            <w:pStyle w:val="13"/>
                          </w:pPr>
                          <w:r>
                            <w:fldChar w:fldCharType="begin"/>
                          </w:r>
                          <w:r>
                            <w:instrText xml:space="preserve"> PAGE  \* MERGEFORMAT </w:instrText>
                          </w:r>
                          <w:r>
                            <w:fldChar w:fldCharType="separate"/>
                          </w:r>
                          <w:r>
                            <w:t>1</w:t>
                          </w:r>
                          <w:r>
                            <w:fldChar w:fldCharType="end"/>
                          </w:r>
                        </w:p>
                      </w:txbxContent>
                    </wps:txbx>
                    <wps:bodyPr rot="0" vert="horz" wrap="none" lIns="0" tIns="0" rIns="0" bIns="0" anchor="t" anchorCtr="0" upright="1">
                      <a:spAutoFit/>
                    </wps:bodyPr>
                  </wps:wsp>
                </a:graphicData>
              </a:graphic>
            </wp:anchor>
          </w:drawing>
        </mc:Choice>
        <mc:Fallback>
          <w:pict>
            <v:shape id="文本框 34" o:spid="_x0000_s1026" o:spt="202" type="#_x0000_t202" style="position:absolute;left:0pt;margin-top:0pt;height:11pt;width:9.15pt;mso-position-horizontal:center;mso-position-horizontal-relative:margin;mso-wrap-style:none;z-index:251660288;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GLpYU0AAAAAMBAAAPAAAAAAAAAAEA&#10;IAAAACIAAABkcnMvZG93bnJldi54bWxQSwECFAAUAAAACACHTuJAAv8AjhcCAAAZBAAADgAAAAAA&#10;AAABACAAAAAfAQAAZHJzL2Uyb0RvYy54bWxQSwUGAAAAAAYABgBZAQAAqAUAAAAA&#10;">
              <v:fill on="f" focussize="0,0"/>
              <v:stroke on="f"/>
              <v:imagedata o:title=""/>
              <o:lock v:ext="edit" aspectratio="f"/>
              <v:textbox inset="0mm,0mm,0mm,0mm" style="mso-fit-shape-to-text:t;">
                <w:txbxContent>
                  <w:p w14:paraId="574C33D1">
                    <w:pPr>
                      <w:pStyle w:val="13"/>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02DB880">
    <w:pPr>
      <w:jc w:val="center"/>
    </w:pPr>
    <w:r>
      <mc:AlternateContent>
        <mc:Choice Requires="wps">
          <w:drawing>
            <wp:anchor distT="0" distB="0" distL="114300" distR="114300" simplePos="0" relativeHeight="251664384" behindDoc="0" locked="0" layoutInCell="1" allowOverlap="1">
              <wp:simplePos x="0" y="0"/>
              <wp:positionH relativeFrom="margin">
                <wp:align>center</wp:align>
              </wp:positionH>
              <wp:positionV relativeFrom="paragraph">
                <wp:posOffset>0</wp:posOffset>
              </wp:positionV>
              <wp:extent cx="116205" cy="139700"/>
              <wp:effectExtent l="0" t="0" r="0" b="0"/>
              <wp:wrapNone/>
              <wp:docPr id="2051622510" name="文本框 54"/>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wps:spPr>
                    <wps:txbx>
                      <w:txbxContent>
                        <w:p w14:paraId="62355952">
                          <w:pPr>
                            <w:snapToGrid w:val="0"/>
                            <w:jc w:val="left"/>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rPr>
                            <w:t>11</w:t>
                          </w:r>
                          <w:r>
                            <w:rPr>
                              <w:sz w:val="18"/>
                              <w:szCs w:val="18"/>
                            </w:rPr>
                            <w:fldChar w:fldCharType="end"/>
                          </w:r>
                        </w:p>
                      </w:txbxContent>
                    </wps:txbx>
                    <wps:bodyPr rot="0" vert="horz" wrap="none" lIns="0" tIns="0" rIns="0" bIns="0" anchor="t" anchorCtr="0" upright="1">
                      <a:spAutoFit/>
                    </wps:bodyPr>
                  </wps:wsp>
                </a:graphicData>
              </a:graphic>
            </wp:anchor>
          </w:drawing>
        </mc:Choice>
        <mc:Fallback>
          <w:pict>
            <v:shape id="文本框 54" o:spid="_x0000_s1026" o:spt="202" type="#_x0000_t202" style="position:absolute;left:0pt;margin-top:0pt;height:11pt;width:9.15pt;mso-position-horizontal:center;mso-position-horizontal-relative:margin;mso-wrap-style:none;z-index:251664384;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">
              <v:fill on="f" focussize="0,0"/>
              <v:stroke on="f"/>
              <v:imagedata o:title=""/>
              <o:lock v:ext="edit" aspectratio="f"/>
              <v:textbox inset="0mm,0mm,0mm,0mm" style="mso-fit-shape-to-text:t;">
                <w:txbxContent>
                  <w:p w14:paraId="62355952">
                    <w:pPr>
                      <w:snapToGrid w:val="0"/>
                      <w:jc w:val="left"/>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rPr>
                      <w:t>11</w:t>
                    </w:r>
                    <w:r>
                      <w:rPr>
                        <w:sz w:val="18"/>
                        <w:szCs w:val="18"/>
                      </w:rPr>
                      <w:fldChar w:fldCharType="end"/>
                    </w:r>
                  </w:p>
                </w:txbxContent>
              </v:textbox>
            </v:shape>
          </w:pict>
        </mc:Fallback>
      </mc:AlternateContent>
    </w:r>
  </w:p>
  <w:p w14:paraId="550BEDD3"/>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DC0E525">
    <w:r>
      <mc:AlternateContent>
        <mc:Choice Requires="wps">
          <w:drawing>
            <wp:anchor distT="0" distB="0" distL="114300" distR="114300" simplePos="0" relativeHeight="251662336" behindDoc="0" locked="0" layoutInCell="1" allowOverlap="1">
              <wp:simplePos x="0" y="0"/>
              <wp:positionH relativeFrom="margin">
                <wp:align>center</wp:align>
              </wp:positionH>
              <wp:positionV relativeFrom="paragraph">
                <wp:posOffset>0</wp:posOffset>
              </wp:positionV>
              <wp:extent cx="116205" cy="139700"/>
              <wp:effectExtent l="0" t="0" r="0" b="0"/>
              <wp:wrapNone/>
              <wp:docPr id="1834199843" name="文本框 39"/>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18159BDD">
                          <w:pPr>
                            <w:pStyle w:val="13"/>
                          </w:pPr>
                          <w:r>
                            <w:fldChar w:fldCharType="begin"/>
                          </w:r>
                          <w:r>
                            <w:instrText xml:space="preserve"> PAGE  \* MERGEFORMAT </w:instrText>
                          </w:r>
                          <w:r>
                            <w:fldChar w:fldCharType="separate"/>
                          </w:r>
                          <w:r>
                            <w:t>36</w:t>
                          </w:r>
                          <w:r>
                            <w:fldChar w:fldCharType="end"/>
                          </w:r>
                        </w:p>
                      </w:txbxContent>
                    </wps:txbx>
                    <wps:bodyPr rot="0" vert="horz" wrap="none" lIns="0" tIns="0" rIns="0" bIns="0" anchor="t" anchorCtr="0" upright="1">
                      <a:spAutoFit/>
                    </wps:bodyPr>
                  </wps:wsp>
                </a:graphicData>
              </a:graphic>
            </wp:anchor>
          </w:drawing>
        </mc:Choice>
        <mc:Fallback>
          <w:pict>
            <v:shape id="文本框 39" o:spid="_x0000_s1026" o:spt="202" type="#_x0000_t202" style="position:absolute;left:0pt;margin-top:0pt;height:11pt;width:9.15pt;mso-position-horizontal:center;mso-position-horizontal-relative:margin;mso-wrap-style:none;z-index:251662336;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">
              <v:fill on="f" focussize="0,0"/>
              <v:stroke on="f"/>
              <v:imagedata o:title=""/>
              <o:lock v:ext="edit" aspectratio="f"/>
              <v:textbox inset="0mm,0mm,0mm,0mm" style="mso-fit-shape-to-text:t;">
                <w:txbxContent>
                  <w:p w14:paraId="18159BDD">
                    <w:pPr>
                      <w:pStyle w:val="13"/>
                    </w:pPr>
                    <w:r>
                      <w:fldChar w:fldCharType="begin"/>
                    </w:r>
                    <w:r>
                      <w:instrText xml:space="preserve"> PAGE  \* MERGEFORMAT </w:instrText>
                    </w:r>
                    <w:r>
                      <w:fldChar w:fldCharType="separate"/>
                    </w:r>
                    <w:r>
                      <w:t>36</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C0CBC8C">
    <w:pPr>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16205" cy="139700"/>
              <wp:effectExtent l="0" t="0" r="0" b="0"/>
              <wp:wrapNone/>
              <wp:docPr id="2021166980" name="文本框 40"/>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4C488756">
                          <w:pPr>
                            <w:pStyle w:val="13"/>
                          </w:pPr>
                          <w:r>
                            <w:fldChar w:fldCharType="begin"/>
                          </w:r>
                          <w:r>
                            <w:instrText xml:space="preserve"> PAGE  \* MERGEFORMAT </w:instrText>
                          </w:r>
                          <w:r>
                            <w:fldChar w:fldCharType="separate"/>
                          </w:r>
                          <w:r>
                            <w:t>50</w:t>
                          </w:r>
                          <w:r>
                            <w:fldChar w:fldCharType="end"/>
                          </w:r>
                        </w:p>
                      </w:txbxContent>
                    </wps:txbx>
                    <wps:bodyPr rot="0" vert="horz" wrap="none" lIns="0" tIns="0" rIns="0" bIns="0" anchor="t" anchorCtr="0" upright="1">
                      <a:spAutoFit/>
                    </wps:bodyPr>
                  </wps:wsp>
                </a:graphicData>
              </a:graphic>
            </wp:anchor>
          </w:drawing>
        </mc:Choice>
        <mc:Fallback>
          <w:pict>
            <v:shape id="文本框 40" o:spid="_x0000_s1026" o:spt="202" type="#_x0000_t202" style="position:absolute;left:0pt;margin-top:0pt;height:11pt;width:9.15pt;mso-position-horizontal:center;mso-position-horizontal-relative:margin;mso-wrap-style:none;z-index:251663360;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">
              <v:fill on="f" focussize="0,0"/>
              <v:stroke on="f"/>
              <v:imagedata o:title=""/>
              <o:lock v:ext="edit" aspectratio="f"/>
              <v:textbox inset="0mm,0mm,0mm,0mm" style="mso-fit-shape-to-text:t;">
                <w:txbxContent>
                  <w:p w14:paraId="4C488756">
                    <w:pPr>
                      <w:pStyle w:val="13"/>
                    </w:pPr>
                    <w:r>
                      <w:fldChar w:fldCharType="begin"/>
                    </w:r>
                    <w:r>
                      <w:instrText xml:space="preserve"> PAGE  \* MERGEFORMAT </w:instrText>
                    </w:r>
                    <w:r>
                      <w:fldChar w:fldCharType="separate"/>
                    </w:r>
                    <w:r>
                      <w:t>50</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85CD6C0">
    <w:pPr>
      <w:jc w:val="center"/>
    </w:pPr>
    <w: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0</wp:posOffset>
              </wp:positionV>
              <wp:extent cx="135255" cy="325755"/>
              <wp:effectExtent l="0" t="0" r="0" b="0"/>
              <wp:wrapNone/>
              <wp:docPr id="1420679156" name="文本框 5"/>
              <wp:cNvGraphicFramePr/>
              <a:graphic xmlns:a="http://schemas.openxmlformats.org/drawingml/2006/main">
                <a:graphicData uri="http://schemas.microsoft.com/office/word/2010/wordprocessingShape">
                  <wps:wsp>
                    <wps:cNvSpPr txBox="1">
                      <a:spLocks noChangeArrowheads="1"/>
                    </wps:cNvSpPr>
                    <wps:spPr bwMode="auto">
                      <a:xfrm>
                        <a:off x="0" y="0"/>
                        <a:ext cx="135255" cy="325755"/>
                      </a:xfrm>
                      <a:prstGeom prst="rect">
                        <a:avLst/>
                      </a:prstGeom>
                      <a:noFill/>
                      <a:ln>
                        <a:noFill/>
                      </a:ln>
                    </wps:spPr>
                    <wps:txbx>
                      <w:txbxContent>
                        <w:p w14:paraId="6DC16E8F">
                          <w:pPr>
                            <w:jc w:val="center"/>
                          </w:pPr>
                          <w:r>
                            <w:fldChar w:fldCharType="begin"/>
                          </w:r>
                          <w:r>
                            <w:rPr>
                              <w:rStyle w:val="24"/>
                            </w:rPr>
                            <w:instrText xml:space="preserve"> PAGE </w:instrText>
                          </w:r>
                          <w:r>
                            <w:fldChar w:fldCharType="separate"/>
                          </w:r>
                          <w:r>
                            <w:rPr>
                              <w:rStyle w:val="24"/>
                            </w:rPr>
                            <w:t>84</w:t>
                          </w:r>
                          <w:r>
                            <w:fldChar w:fldCharType="end"/>
                          </w:r>
                        </w:p>
                        <w:p w14:paraId="30BB5744"/>
                      </w:txbxContent>
                    </wps:txbx>
                    <wps:bodyPr rot="0" vert="horz" wrap="none" lIns="0" tIns="0" rIns="0" bIns="0" anchor="t" anchorCtr="0" upright="1">
                      <a:spAutoFit/>
                    </wps:bodyPr>
                  </wps:wsp>
                </a:graphicData>
              </a:graphic>
            </wp:anchor>
          </w:drawing>
        </mc:Choice>
        <mc:Fallback>
          <w:pict>
            <v:shape id="文本框 5" o:spid="_x0000_s1026" o:spt="202" type="#_x0000_t202" style="position:absolute;left:0pt;margin-top:0pt;height:25.65pt;width:10.65pt;mso-position-horizontal:center;mso-position-horizontal-relative:margin;mso-wrap-style:none;z-index:251663360;mso-width-relative:page;mso-height-relative:page;" filled="f" stroked="f" coordsize="21600,21600" o:gfxdata="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">
              <v:fill on="f" focussize="0,0"/>
              <v:stroke on="f"/>
              <v:imagedata o:title=""/>
              <o:lock v:ext="edit" aspectratio="f"/>
              <v:textbox inset="0mm,0mm,0mm,0mm" style="mso-fit-shape-to-text:t;">
                <w:txbxContent>
                  <w:p w14:paraId="6DC16E8F">
                    <w:pPr>
                      <w:jc w:val="center"/>
                    </w:pPr>
                    <w:r>
                      <w:fldChar w:fldCharType="begin"/>
                    </w:r>
                    <w:r>
                      <w:rPr>
                        <w:rStyle w:val="24"/>
                      </w:rPr>
                      <w:instrText xml:space="preserve"> PAGE </w:instrText>
                    </w:r>
                    <w:r>
                      <w:fldChar w:fldCharType="separate"/>
                    </w:r>
                    <w:r>
                      <w:rPr>
                        <w:rStyle w:val="24"/>
                      </w:rPr>
                      <w:t>84</w:t>
                    </w:r>
                    <w:r>
                      <w:fldChar w:fldCharType="end"/>
                    </w:r>
                  </w:p>
                  <w:p w14:paraId="30BB5744"/>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F289EE">
    <w:pPr>
      <w:snapToGrid w:val="0"/>
      <w:ind w:firstLine="360"/>
      <w:jc w:val="left"/>
      <w:rPr>
        <w:sz w:val="18"/>
        <w:szCs w:val="18"/>
      </w:rPr>
    </w:pPr>
    <w:r>
      <w:rPr>
        <w:sz w:val="18"/>
        <w:szCs w:val="18"/>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16205" cy="139700"/>
              <wp:effectExtent l="0" t="0" r="0" b="0"/>
              <wp:wrapNone/>
              <wp:docPr id="1332351704" name="文本框 57"/>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wps:spPr>
                    <wps:txbx>
                      <w:txbxContent>
                        <w:p w14:paraId="56B3B52C">
                          <w:pPr>
                            <w:snapToGrid w:val="0"/>
                            <w:jc w:val="left"/>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rPr>
                            <w:t>56</w:t>
                          </w:r>
                          <w:r>
                            <w:rPr>
                              <w:sz w:val="18"/>
                              <w:szCs w:val="18"/>
                            </w:rPr>
                            <w:fldChar w:fldCharType="end"/>
                          </w:r>
                        </w:p>
                      </w:txbxContent>
                    </wps:txbx>
                    <wps:bodyPr rot="0" vert="horz" wrap="none" lIns="0" tIns="0" rIns="0" bIns="0" anchor="t" anchorCtr="0" upright="1">
                      <a:spAutoFit/>
                    </wps:bodyPr>
                  </wps:wsp>
                </a:graphicData>
              </a:graphic>
            </wp:anchor>
          </w:drawing>
        </mc:Choice>
        <mc:Fallback>
          <w:pict>
            <v:shape id="文本框 57" o:spid="_x0000_s1026" o:spt="202" type="#_x0000_t202" style="position:absolute;left:0pt;margin-top:0pt;height:11pt;width:9.15pt;mso-position-horizontal:center;mso-position-horizontal-relative:margin;mso-wrap-style:none;z-index:251665408;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">
              <v:fill on="f" focussize="0,0"/>
              <v:stroke on="f"/>
              <v:imagedata o:title=""/>
              <o:lock v:ext="edit" aspectratio="f"/>
              <v:textbox inset="0mm,0mm,0mm,0mm" style="mso-fit-shape-to-text:t;">
                <w:txbxContent>
                  <w:p w14:paraId="56B3B52C">
                    <w:pPr>
                      <w:snapToGrid w:val="0"/>
                      <w:jc w:val="left"/>
                      <w:rPr>
                        <w:sz w:val="18"/>
                        <w:szCs w:val="18"/>
                      </w:rPr>
                    </w:pPr>
                    <w:r>
                      <w:rPr>
                        <w:sz w:val="18"/>
                        <w:szCs w:val="18"/>
                      </w:rPr>
                      <w:fldChar w:fldCharType="begin"/>
                    </w:r>
                    <w:r>
                      <w:rPr>
                        <w:sz w:val="18"/>
                        <w:szCs w:val="18"/>
                      </w:rPr>
                      <w:instrText xml:space="preserve"> PAGE  \* MERGEFORMAT </w:instrText>
                    </w:r>
                    <w:r>
                      <w:rPr>
                        <w:sz w:val="18"/>
                        <w:szCs w:val="18"/>
                      </w:rPr>
                      <w:fldChar w:fldCharType="separate"/>
                    </w:r>
                    <w:r>
                      <w:rPr>
                        <w:sz w:val="18"/>
                        <w:szCs w:val="18"/>
                      </w:rPr>
                      <w:t>56</w:t>
                    </w:r>
                    <w:r>
                      <w:rPr>
                        <w:sz w:val="18"/>
                        <w:szCs w:val="18"/>
                      </w:rP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B457817">
    <w:pPr>
      <w:pStyle w:val="13"/>
      <w:ind w:firstLine="360"/>
    </w:pPr>
    <w: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16205" cy="139700"/>
              <wp:effectExtent l="0" t="0" r="0" b="0"/>
              <wp:wrapNone/>
              <wp:docPr id="1030323541" name="文本框 41"/>
              <wp:cNvGraphicFramePr/>
              <a:graphic xmlns:a="http://schemas.openxmlformats.org/drawingml/2006/main">
                <a:graphicData uri="http://schemas.microsoft.com/office/word/2010/wordprocessingShape">
                  <wps:wsp>
                    <wps:cNvSpPr txBox="1">
                      <a:spLocks noChangeArrowheads="1"/>
                    </wps:cNvSpPr>
                    <wps:spPr bwMode="auto">
                      <a:xfrm>
                        <a:off x="0" y="0"/>
                        <a:ext cx="116205" cy="139700"/>
                      </a:xfrm>
                      <a:prstGeom prst="rect">
                        <a:avLst/>
                      </a:prstGeom>
                      <a:noFill/>
                      <a:ln>
                        <a:noFill/>
                      </a:ln>
                      <a:effectLst/>
                    </wps:spPr>
                    <wps:txbx>
                      <w:txbxContent>
                        <w:p w14:paraId="1E386047">
                          <w:pPr>
                            <w:pStyle w:val="13"/>
                          </w:pPr>
                          <w:r>
                            <w:fldChar w:fldCharType="begin"/>
                          </w:r>
                          <w:r>
                            <w:instrText xml:space="preserve"> PAGE  \* MERGEFORMAT </w:instrText>
                          </w:r>
                          <w:r>
                            <w:fldChar w:fldCharType="separate"/>
                          </w:r>
                          <w:r>
                            <w:t>56</w:t>
                          </w:r>
                          <w:r>
                            <w:fldChar w:fldCharType="end"/>
                          </w:r>
                        </w:p>
                      </w:txbxContent>
                    </wps:txbx>
                    <wps:bodyPr rot="0" vert="horz" wrap="none" lIns="0" tIns="0" rIns="0" bIns="0" anchor="t" anchorCtr="0" upright="1">
                      <a:spAutoFit/>
                    </wps:bodyPr>
                  </wps:wsp>
                </a:graphicData>
              </a:graphic>
            </wp:anchor>
          </w:drawing>
        </mc:Choice>
        <mc:Fallback>
          <w:pict>
            <v:shape id="文本框 41" o:spid="_x0000_s1026" o:spt="202" type="#_x0000_t202" style="position:absolute;left:0pt;margin-top:0pt;height:11pt;width:9.15pt;mso-position-horizontal:center;mso-position-horizontal-relative:margin;mso-wrap-style:none;z-index:251666432;mso-width-relative:page;mso-height-relative:page;" filled="f" stroked="f" coordsize="21600,21600" o:gfxdata="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">
              <v:fill on="f" focussize="0,0"/>
              <v:stroke on="f"/>
              <v:imagedata o:title=""/>
              <o:lock v:ext="edit" aspectratio="f"/>
              <v:textbox inset="0mm,0mm,0mm,0mm" style="mso-fit-shape-to-text:t;">
                <w:txbxContent>
                  <w:p w14:paraId="1E386047">
                    <w:pPr>
                      <w:pStyle w:val="13"/>
                    </w:pPr>
                    <w:r>
                      <w:fldChar w:fldCharType="begin"/>
                    </w:r>
                    <w:r>
                      <w:instrText xml:space="preserve"> PAGE  \* MERGEFORMAT </w:instrText>
                    </w:r>
                    <w:r>
                      <w:fldChar w:fldCharType="separate"/>
                    </w:r>
                    <w:r>
                      <w:t>56</w:t>
                    </w:r>
                    <w:r>
                      <w:fldChar w:fldCharType="end"/>
                    </w:r>
                  </w:p>
                </w:txbxContent>
              </v:textbox>
            </v:shape>
          </w:pict>
        </mc:Fallback>
      </mc:AlternateConten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084B1B2">
    <w:pPr>
      <w:pStyle w:val="14"/>
      <w:jc w:val="left"/>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01C216D">
    <w:pPr>
      <w:pBdr>
        <w:top w:val="none" w:color="auto" w:sz="0" w:space="1"/>
        <w:left w:val="none" w:color="auto" w:sz="0" w:space="4"/>
        <w:bottom w:val="none" w:color="auto" w:sz="0" w:space="1"/>
        <w:right w:val="none" w:color="auto" w:sz="0" w:space="4"/>
      </w:pBdr>
      <w:tabs>
        <w:tab w:val="right" w:pos="10466"/>
      </w:tabs>
      <w:snapToGrid w:val="0"/>
      <w:ind w:right="-694"/>
      <w:jc w:val="left"/>
      <w:rPr>
        <w:b/>
        <w:sz w:val="28"/>
        <w:szCs w:val="28"/>
      </w:rPr>
    </w:pPr>
    <w:r>
      <w:rPr>
        <w:rFonts w:hint="eastAsia"/>
        <w:b/>
        <w:sz w:val="28"/>
        <w:szCs w:val="28"/>
      </w:rPr>
      <w:tab/>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336080">
    <w:pPr>
      <w:pStyle w:val="14"/>
    </w:pP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937789F">
    <w:pPr>
      <w:pBdr>
        <w:top w:val="none" w:color="auto" w:sz="0" w:space="1"/>
        <w:left w:val="none" w:color="auto" w:sz="0" w:space="4"/>
        <w:bottom w:val="none" w:color="auto" w:sz="0" w:space="1"/>
        <w:right w:val="none" w:color="auto" w:sz="0" w:space="4"/>
      </w:pBdr>
      <w:snapToGrid w:val="0"/>
      <w:jc w:val="left"/>
      <w:rPr>
        <w:sz w:val="18"/>
      </w:rP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EC9AFD9">
    <w:pPr>
      <w:pStyle w:val="14"/>
      <w:jc w:val="left"/>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882A12E6"/>
    <w:multiLevelType w:val="singleLevel"/>
    <w:tmpl w:val="882A12E6"/>
    <w:lvl w:ilvl="0" w:tentative="0">
      <w:start w:val="7"/>
      <w:numFmt w:val="decimal"/>
      <w:suff w:val="space"/>
      <w:lvlText w:val="%1."/>
      <w:lvlJc w:val="left"/>
    </w:lvl>
  </w:abstractNum>
  <w:abstractNum w:abstractNumId="1">
    <w:nsid w:val="9C59AA92"/>
    <w:multiLevelType w:val="multilevel"/>
    <w:tmpl w:val="9C59AA92"/>
    <w:lvl w:ilvl="0" w:tentative="0">
      <w:start w:val="1"/>
      <w:numFmt w:val="chineseCounting"/>
      <w:pStyle w:val="3"/>
      <w:suff w:val="nothing"/>
      <w:lvlText w:val="第%1章 "/>
      <w:lvlJc w:val="left"/>
      <w:pPr>
        <w:tabs>
          <w:tab w:val="left" w:pos="0"/>
        </w:tabs>
        <w:ind w:left="0" w:firstLine="402"/>
      </w:pPr>
      <w:rPr>
        <w:rFonts w:hint="eastAsia"/>
      </w:rPr>
    </w:lvl>
    <w:lvl w:ilvl="1" w:tentative="0">
      <w:start w:val="1"/>
      <w:numFmt w:val="chineseCounting"/>
      <w:suff w:val="nothing"/>
      <w:lvlText w:val="%2、"/>
      <w:lvlJc w:val="left"/>
      <w:pPr>
        <w:ind w:left="0" w:firstLine="402"/>
      </w:pPr>
      <w:rPr>
        <w:rFonts w:hint="eastAsia"/>
      </w:rPr>
    </w:lvl>
    <w:lvl w:ilvl="2" w:tentative="0">
      <w:start w:val="1"/>
      <w:numFmt w:val="decimal"/>
      <w:suff w:val="nothing"/>
      <w:lvlText w:val="%3．"/>
      <w:lvlJc w:val="left"/>
      <w:pPr>
        <w:ind w:left="0" w:firstLine="402"/>
      </w:pPr>
      <w:rPr>
        <w:rFonts w:hint="eastAsia"/>
      </w:rPr>
    </w:lvl>
    <w:lvl w:ilvl="3" w:tentative="0">
      <w:start w:val="1"/>
      <w:numFmt w:val="decimal"/>
      <w:suff w:val="nothing"/>
      <w:lvlText w:val="（%4）"/>
      <w:lvlJc w:val="left"/>
      <w:pPr>
        <w:ind w:left="0" w:firstLine="402"/>
      </w:pPr>
      <w:rPr>
        <w:rFonts w:hint="eastAsia"/>
      </w:rPr>
    </w:lvl>
    <w:lvl w:ilvl="4" w:tentative="0">
      <w:start w:val="1"/>
      <w:numFmt w:val="decimalEnclosedCircleChinese"/>
      <w:suff w:val="nothing"/>
      <w:lvlText w:val="%5 "/>
      <w:lvlJc w:val="left"/>
      <w:pPr>
        <w:ind w:left="0" w:firstLine="402"/>
      </w:pPr>
      <w:rPr>
        <w:rFonts w:hint="eastAsia"/>
      </w:rPr>
    </w:lvl>
    <w:lvl w:ilvl="5" w:tentative="0">
      <w:start w:val="1"/>
      <w:numFmt w:val="decimal"/>
      <w:suff w:val="nothing"/>
      <w:lvlText w:val="%6）"/>
      <w:lvlJc w:val="left"/>
      <w:pPr>
        <w:ind w:left="0" w:firstLine="402"/>
      </w:pPr>
      <w:rPr>
        <w:rFonts w:hint="eastAsia"/>
      </w:rPr>
    </w:lvl>
    <w:lvl w:ilvl="6" w:tentative="0">
      <w:start w:val="1"/>
      <w:numFmt w:val="lowerLetter"/>
      <w:suff w:val="nothing"/>
      <w:lvlText w:val="%7．"/>
      <w:lvlJc w:val="left"/>
      <w:pPr>
        <w:ind w:left="0" w:firstLine="402"/>
      </w:pPr>
      <w:rPr>
        <w:rFonts w:hint="eastAsia"/>
      </w:rPr>
    </w:lvl>
    <w:lvl w:ilvl="7" w:tentative="0">
      <w:start w:val="1"/>
      <w:numFmt w:val="lowerLetter"/>
      <w:suff w:val="nothing"/>
      <w:lvlText w:val="%8）"/>
      <w:lvlJc w:val="left"/>
      <w:pPr>
        <w:ind w:left="0" w:firstLine="402"/>
      </w:pPr>
      <w:rPr>
        <w:rFonts w:hint="eastAsia"/>
      </w:rPr>
    </w:lvl>
    <w:lvl w:ilvl="8" w:tentative="0">
      <w:start w:val="1"/>
      <w:numFmt w:val="lowerRoman"/>
      <w:suff w:val="nothing"/>
      <w:lvlText w:val="%9. "/>
      <w:lvlJc w:val="left"/>
      <w:pPr>
        <w:ind w:left="0" w:firstLine="402"/>
      </w:pPr>
      <w:rPr>
        <w:rFonts w:hint="eastAsia"/>
      </w:rPr>
    </w:lvl>
  </w:abstractNum>
  <w:abstractNum w:abstractNumId="2">
    <w:nsid w:val="A25B3BB5"/>
    <w:multiLevelType w:val="singleLevel"/>
    <w:tmpl w:val="A25B3BB5"/>
    <w:lvl w:ilvl="0" w:tentative="0">
      <w:start w:val="2"/>
      <w:numFmt w:val="chineseCounting"/>
      <w:suff w:val="nothing"/>
      <w:lvlText w:val="%1、"/>
      <w:lvlJc w:val="left"/>
      <w:rPr>
        <w:rFonts w:hint="eastAsia"/>
      </w:rPr>
    </w:lvl>
  </w:abstractNum>
  <w:abstractNum w:abstractNumId="3">
    <w:nsid w:val="A955236B"/>
    <w:multiLevelType w:val="singleLevel"/>
    <w:tmpl w:val="A955236B"/>
    <w:lvl w:ilvl="0" w:tentative="0">
      <w:start w:val="1"/>
      <w:numFmt w:val="decimal"/>
      <w:suff w:val="space"/>
      <w:lvlText w:val="%1."/>
      <w:lvlJc w:val="left"/>
    </w:lvl>
  </w:abstractNum>
  <w:abstractNum w:abstractNumId="4">
    <w:nsid w:val="F97361C7"/>
    <w:multiLevelType w:val="singleLevel"/>
    <w:tmpl w:val="F97361C7"/>
    <w:lvl w:ilvl="0" w:tentative="0">
      <w:start w:val="5"/>
      <w:numFmt w:val="chineseCounting"/>
      <w:suff w:val="space"/>
      <w:lvlText w:val="第%1章"/>
      <w:lvlJc w:val="left"/>
      <w:rPr>
        <w:rFonts w:hint="eastAsia"/>
      </w:rPr>
    </w:lvl>
  </w:abstractNum>
  <w:abstractNum w:abstractNumId="5">
    <w:nsid w:val="266C7E8D"/>
    <w:multiLevelType w:val="singleLevel"/>
    <w:tmpl w:val="266C7E8D"/>
    <w:lvl w:ilvl="0" w:tentative="0">
      <w:start w:val="4"/>
      <w:numFmt w:val="decimal"/>
      <w:suff w:val="space"/>
      <w:lvlText w:val="%1."/>
      <w:lvlJc w:val="left"/>
    </w:lvl>
  </w:abstractNum>
  <w:abstractNum w:abstractNumId="6">
    <w:nsid w:val="2E95D47B"/>
    <w:multiLevelType w:val="singleLevel"/>
    <w:tmpl w:val="2E95D47B"/>
    <w:lvl w:ilvl="0" w:tentative="0">
      <w:start w:val="1"/>
      <w:numFmt w:val="decimal"/>
      <w:pStyle w:val="4"/>
      <w:suff w:val="nothing"/>
      <w:lvlText w:val="%1．"/>
      <w:lvlJc w:val="left"/>
      <w:pPr>
        <w:ind w:left="17" w:firstLine="400"/>
      </w:pPr>
      <w:rPr>
        <w:rFonts w:hint="default"/>
      </w:rPr>
    </w:lvl>
  </w:abstractNum>
  <w:abstractNum w:abstractNumId="7">
    <w:nsid w:val="3285F6CE"/>
    <w:multiLevelType w:val="multilevel"/>
    <w:tmpl w:val="3285F6CE"/>
    <w:lvl w:ilvl="0" w:tentative="0">
      <w:start w:val="1"/>
      <w:numFmt w:val="decimal"/>
      <w:suff w:val="space"/>
      <w:lvlText w:val="%1"/>
      <w:lvlJc w:val="left"/>
      <w:pPr>
        <w:ind w:left="0" w:firstLine="0"/>
      </w:pPr>
      <w:rPr>
        <w:rFonts w:hint="default"/>
      </w:rPr>
    </w:lvl>
    <w:lvl w:ilvl="1" w:tentative="0">
      <w:start w:val="1"/>
      <w:numFmt w:val="decimal"/>
      <w:suff w:val="space"/>
      <w:lvlText w:val="%1.%2"/>
      <w:lvlJc w:val="left"/>
      <w:pPr>
        <w:ind w:left="0" w:firstLine="0"/>
      </w:pPr>
      <w:rPr>
        <w:rFonts w:hint="default"/>
      </w:rPr>
    </w:lvl>
    <w:lvl w:ilvl="2" w:tentative="0">
      <w:start w:val="1"/>
      <w:numFmt w:val="decimal"/>
      <w:suff w:val="space"/>
      <w:lvlText w:val="%1.%2.%3"/>
      <w:lvlJc w:val="left"/>
      <w:pPr>
        <w:ind w:left="0" w:firstLine="0"/>
      </w:pPr>
      <w:rPr>
        <w:rFonts w:hint="default"/>
      </w:rPr>
    </w:lvl>
    <w:lvl w:ilvl="3" w:tentative="0">
      <w:start w:val="1"/>
      <w:numFmt w:val="decimal"/>
      <w:suff w:val="space"/>
      <w:lvlText w:val="%1.%2.%3.%4"/>
      <w:lvlJc w:val="left"/>
      <w:pPr>
        <w:ind w:left="0" w:firstLine="0"/>
      </w:pPr>
      <w:rPr>
        <w:rFonts w:hint="default"/>
      </w:rPr>
    </w:lvl>
    <w:lvl w:ilvl="4" w:tentative="0">
      <w:start w:val="1"/>
      <w:numFmt w:val="decimal"/>
      <w:suff w:val="space"/>
      <w:lvlText w:val="%1.%2.%3.%4.%5"/>
      <w:lvlJc w:val="left"/>
      <w:pPr>
        <w:ind w:left="0" w:firstLine="0"/>
      </w:pPr>
      <w:rPr>
        <w:rFonts w:hint="default"/>
      </w:rPr>
    </w:lvl>
    <w:lvl w:ilvl="5" w:tentative="0">
      <w:start w:val="1"/>
      <w:numFmt w:val="decimal"/>
      <w:suff w:val="space"/>
      <w:lvlText w:val="%1.%2.%3.%4.%5.%6"/>
      <w:lvlJc w:val="left"/>
      <w:pPr>
        <w:ind w:left="0" w:firstLine="0"/>
      </w:pPr>
      <w:rPr>
        <w:rFonts w:hint="default"/>
      </w:rPr>
    </w:lvl>
    <w:lvl w:ilvl="6" w:tentative="0">
      <w:start w:val="1"/>
      <w:numFmt w:val="decimal"/>
      <w:suff w:val="space"/>
      <w:lvlText w:val="%1.%2.%3.%4.%5.%6.%7"/>
      <w:lvlJc w:val="left"/>
      <w:pPr>
        <w:ind w:left="0" w:firstLine="0"/>
      </w:pPr>
      <w:rPr>
        <w:rFonts w:hint="default"/>
      </w:rPr>
    </w:lvl>
    <w:lvl w:ilvl="7" w:tentative="0">
      <w:start w:val="1"/>
      <w:numFmt w:val="decimal"/>
      <w:suff w:val="space"/>
      <w:lvlText w:val="%1.%2.%3.%4.%5.%6.%7.%8"/>
      <w:lvlJc w:val="left"/>
      <w:pPr>
        <w:ind w:left="0" w:firstLine="0"/>
      </w:pPr>
      <w:rPr>
        <w:rFonts w:hint="default"/>
      </w:rPr>
    </w:lvl>
    <w:lvl w:ilvl="8" w:tentative="0">
      <w:start w:val="1"/>
      <w:numFmt w:val="decimal"/>
      <w:suff w:val="space"/>
      <w:lvlText w:val="%1.%2.%3.%4.%5.%6.%7.%8.%9"/>
      <w:lvlJc w:val="left"/>
      <w:pPr>
        <w:ind w:left="0" w:firstLine="0"/>
      </w:pPr>
      <w:rPr>
        <w:rFonts w:hint="default"/>
      </w:rPr>
    </w:lvl>
  </w:abstractNum>
  <w:num w:numId="1">
    <w:abstractNumId w:val="1"/>
  </w:num>
  <w:num w:numId="2">
    <w:abstractNumId w:val="6"/>
  </w:num>
  <w:num w:numId="3">
    <w:abstractNumId w:val="3"/>
  </w:num>
  <w:num w:numId="4">
    <w:abstractNumId w:val="7"/>
  </w:num>
  <w:num w:numId="5">
    <w:abstractNumId w:val="5"/>
  </w:num>
  <w:num w:numId="6">
    <w:abstractNumId w:val="0"/>
  </w:num>
  <w:num w:numId="7">
    <w:abstractNumId w:val="2"/>
  </w:num>
  <w:num w:numId="8">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embedTrueTypeFonts/>
  <w:saveSubsetFonts/>
  <w:bordersDoNotSurroundHeader w:val="1"/>
  <w:bordersDoNotSurroundFooter w:val="1"/>
  <w:documentProtection w:enforcement="0"/>
  <w:defaultTabStop w:val="420"/>
  <w:drawingGridVerticalSpacing w:val="156"/>
  <w:noPunctuationKerning w:val="1"/>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TBhOTY0OGVkNTVlOWYxMDRhZGFhOThlZTczNTRlNmYifQ=="/>
  </w:docVars>
  <w:rsids>
    <w:rsidRoot w:val="00AD06D9"/>
    <w:rsid w:val="000B43C0"/>
    <w:rsid w:val="000D3533"/>
    <w:rsid w:val="00126DE8"/>
    <w:rsid w:val="001545AA"/>
    <w:rsid w:val="001659E6"/>
    <w:rsid w:val="001C471D"/>
    <w:rsid w:val="001E35EC"/>
    <w:rsid w:val="00230445"/>
    <w:rsid w:val="00243EB1"/>
    <w:rsid w:val="0028003C"/>
    <w:rsid w:val="00286930"/>
    <w:rsid w:val="003C6A6E"/>
    <w:rsid w:val="00466F51"/>
    <w:rsid w:val="004932B8"/>
    <w:rsid w:val="004E0F4C"/>
    <w:rsid w:val="00512041"/>
    <w:rsid w:val="00560967"/>
    <w:rsid w:val="005B1C62"/>
    <w:rsid w:val="005D0470"/>
    <w:rsid w:val="0064415D"/>
    <w:rsid w:val="006C78BD"/>
    <w:rsid w:val="00705137"/>
    <w:rsid w:val="00774C23"/>
    <w:rsid w:val="007F0E50"/>
    <w:rsid w:val="00906DAE"/>
    <w:rsid w:val="00A5487F"/>
    <w:rsid w:val="00AD06D9"/>
    <w:rsid w:val="00AE1115"/>
    <w:rsid w:val="00AF0DA2"/>
    <w:rsid w:val="00B56F3C"/>
    <w:rsid w:val="00C04A40"/>
    <w:rsid w:val="00D21D3A"/>
    <w:rsid w:val="00D53B5D"/>
    <w:rsid w:val="00E4701E"/>
    <w:rsid w:val="00E479DF"/>
    <w:rsid w:val="00F43DE7"/>
    <w:rsid w:val="00FA1044"/>
    <w:rsid w:val="00FD2626"/>
    <w:rsid w:val="01082DCE"/>
    <w:rsid w:val="01196377"/>
    <w:rsid w:val="011A27E6"/>
    <w:rsid w:val="011B4B0A"/>
    <w:rsid w:val="011D6ED0"/>
    <w:rsid w:val="013C7065"/>
    <w:rsid w:val="014D641B"/>
    <w:rsid w:val="01604B65"/>
    <w:rsid w:val="01631629"/>
    <w:rsid w:val="016A3995"/>
    <w:rsid w:val="01767A67"/>
    <w:rsid w:val="018B2605"/>
    <w:rsid w:val="019312E0"/>
    <w:rsid w:val="0195715E"/>
    <w:rsid w:val="01981071"/>
    <w:rsid w:val="019D2FC7"/>
    <w:rsid w:val="019E058F"/>
    <w:rsid w:val="01B464A4"/>
    <w:rsid w:val="01B70491"/>
    <w:rsid w:val="01B82FCB"/>
    <w:rsid w:val="01BC5540"/>
    <w:rsid w:val="01D932CB"/>
    <w:rsid w:val="01E22FC9"/>
    <w:rsid w:val="01ED4448"/>
    <w:rsid w:val="02047B14"/>
    <w:rsid w:val="021A334D"/>
    <w:rsid w:val="02241CA7"/>
    <w:rsid w:val="022C0382"/>
    <w:rsid w:val="022D7E5C"/>
    <w:rsid w:val="02454DC6"/>
    <w:rsid w:val="02460711"/>
    <w:rsid w:val="024B086A"/>
    <w:rsid w:val="024C3FDE"/>
    <w:rsid w:val="025C2FF3"/>
    <w:rsid w:val="0260580C"/>
    <w:rsid w:val="0263637C"/>
    <w:rsid w:val="026F50F7"/>
    <w:rsid w:val="0292228F"/>
    <w:rsid w:val="029D3473"/>
    <w:rsid w:val="02A843B9"/>
    <w:rsid w:val="02AF018D"/>
    <w:rsid w:val="02B17534"/>
    <w:rsid w:val="02C148EA"/>
    <w:rsid w:val="02D81A6F"/>
    <w:rsid w:val="02F11F86"/>
    <w:rsid w:val="031402A0"/>
    <w:rsid w:val="031650CA"/>
    <w:rsid w:val="03530EF0"/>
    <w:rsid w:val="03666726"/>
    <w:rsid w:val="036A6013"/>
    <w:rsid w:val="036B0042"/>
    <w:rsid w:val="037845E3"/>
    <w:rsid w:val="03921536"/>
    <w:rsid w:val="03957CCA"/>
    <w:rsid w:val="03BA168E"/>
    <w:rsid w:val="03DE6BBF"/>
    <w:rsid w:val="03E96E0E"/>
    <w:rsid w:val="03EA0F31"/>
    <w:rsid w:val="03EC548F"/>
    <w:rsid w:val="03FB6B06"/>
    <w:rsid w:val="040C6F46"/>
    <w:rsid w:val="04233E93"/>
    <w:rsid w:val="04295DA0"/>
    <w:rsid w:val="04352FAD"/>
    <w:rsid w:val="04533F12"/>
    <w:rsid w:val="045A4649"/>
    <w:rsid w:val="04611584"/>
    <w:rsid w:val="04623610"/>
    <w:rsid w:val="046B7205"/>
    <w:rsid w:val="047B3AB4"/>
    <w:rsid w:val="047C0CFA"/>
    <w:rsid w:val="047C234D"/>
    <w:rsid w:val="048328A9"/>
    <w:rsid w:val="04A52713"/>
    <w:rsid w:val="04A61CAB"/>
    <w:rsid w:val="04B66E9B"/>
    <w:rsid w:val="04DF02F5"/>
    <w:rsid w:val="04E369E5"/>
    <w:rsid w:val="04EA65EC"/>
    <w:rsid w:val="04F54297"/>
    <w:rsid w:val="04F76AAC"/>
    <w:rsid w:val="04F95D73"/>
    <w:rsid w:val="050022AA"/>
    <w:rsid w:val="05162632"/>
    <w:rsid w:val="05474D67"/>
    <w:rsid w:val="057351EA"/>
    <w:rsid w:val="05884094"/>
    <w:rsid w:val="059407B9"/>
    <w:rsid w:val="059761EF"/>
    <w:rsid w:val="059F2433"/>
    <w:rsid w:val="05A12F8F"/>
    <w:rsid w:val="05A958A0"/>
    <w:rsid w:val="05B16949"/>
    <w:rsid w:val="05C614B1"/>
    <w:rsid w:val="05E22087"/>
    <w:rsid w:val="05E878B2"/>
    <w:rsid w:val="05EC3DBF"/>
    <w:rsid w:val="05F90297"/>
    <w:rsid w:val="060C39DD"/>
    <w:rsid w:val="061006D5"/>
    <w:rsid w:val="06227012"/>
    <w:rsid w:val="06291D77"/>
    <w:rsid w:val="062929E2"/>
    <w:rsid w:val="064B1FD0"/>
    <w:rsid w:val="06510831"/>
    <w:rsid w:val="0655574A"/>
    <w:rsid w:val="066756C3"/>
    <w:rsid w:val="066E7995"/>
    <w:rsid w:val="0671119D"/>
    <w:rsid w:val="068C07A0"/>
    <w:rsid w:val="069C2279"/>
    <w:rsid w:val="06C75E0F"/>
    <w:rsid w:val="06CD2659"/>
    <w:rsid w:val="06D9617D"/>
    <w:rsid w:val="06E209B7"/>
    <w:rsid w:val="06EE5449"/>
    <w:rsid w:val="071050F9"/>
    <w:rsid w:val="071D3AEF"/>
    <w:rsid w:val="071F775B"/>
    <w:rsid w:val="0725414F"/>
    <w:rsid w:val="073E4D0F"/>
    <w:rsid w:val="075D60AD"/>
    <w:rsid w:val="07914D92"/>
    <w:rsid w:val="07A073B4"/>
    <w:rsid w:val="07C93DD2"/>
    <w:rsid w:val="07F10BD9"/>
    <w:rsid w:val="07F33261"/>
    <w:rsid w:val="07F60328"/>
    <w:rsid w:val="07FB3039"/>
    <w:rsid w:val="07FC2047"/>
    <w:rsid w:val="080630D2"/>
    <w:rsid w:val="080A4F8B"/>
    <w:rsid w:val="081D312D"/>
    <w:rsid w:val="08290DFC"/>
    <w:rsid w:val="082D031A"/>
    <w:rsid w:val="083227D0"/>
    <w:rsid w:val="083E61F6"/>
    <w:rsid w:val="08441F41"/>
    <w:rsid w:val="0871359F"/>
    <w:rsid w:val="08762289"/>
    <w:rsid w:val="088909C5"/>
    <w:rsid w:val="08A45B58"/>
    <w:rsid w:val="08A75E9F"/>
    <w:rsid w:val="08B51EFD"/>
    <w:rsid w:val="08C520FD"/>
    <w:rsid w:val="08C644EB"/>
    <w:rsid w:val="08CB31B1"/>
    <w:rsid w:val="08DE0702"/>
    <w:rsid w:val="08E36B16"/>
    <w:rsid w:val="08E57829"/>
    <w:rsid w:val="08EB2A28"/>
    <w:rsid w:val="08F27E89"/>
    <w:rsid w:val="09033D88"/>
    <w:rsid w:val="091033C7"/>
    <w:rsid w:val="092454AE"/>
    <w:rsid w:val="093A41D9"/>
    <w:rsid w:val="094350D2"/>
    <w:rsid w:val="094465B6"/>
    <w:rsid w:val="09520EC1"/>
    <w:rsid w:val="09522E65"/>
    <w:rsid w:val="096126C2"/>
    <w:rsid w:val="0981290A"/>
    <w:rsid w:val="09880942"/>
    <w:rsid w:val="09904735"/>
    <w:rsid w:val="09A1577F"/>
    <w:rsid w:val="09B1743D"/>
    <w:rsid w:val="09BF3C5F"/>
    <w:rsid w:val="09EC3543"/>
    <w:rsid w:val="09F93BE8"/>
    <w:rsid w:val="0A017749"/>
    <w:rsid w:val="0A1931C5"/>
    <w:rsid w:val="0A31325F"/>
    <w:rsid w:val="0A433EA3"/>
    <w:rsid w:val="0A4C0A53"/>
    <w:rsid w:val="0A562E5C"/>
    <w:rsid w:val="0A595E3B"/>
    <w:rsid w:val="0A603DC5"/>
    <w:rsid w:val="0A6D4428"/>
    <w:rsid w:val="0A70103F"/>
    <w:rsid w:val="0A830A8F"/>
    <w:rsid w:val="0A9876CB"/>
    <w:rsid w:val="0ADB488F"/>
    <w:rsid w:val="0ADF4740"/>
    <w:rsid w:val="0AF404CA"/>
    <w:rsid w:val="0B237F0C"/>
    <w:rsid w:val="0B25655D"/>
    <w:rsid w:val="0B3557D8"/>
    <w:rsid w:val="0B3B41A4"/>
    <w:rsid w:val="0B466158"/>
    <w:rsid w:val="0B765704"/>
    <w:rsid w:val="0B7D0BA2"/>
    <w:rsid w:val="0B831417"/>
    <w:rsid w:val="0B93104F"/>
    <w:rsid w:val="0B976282"/>
    <w:rsid w:val="0BAA0921"/>
    <w:rsid w:val="0BAB4B61"/>
    <w:rsid w:val="0BBE3C8E"/>
    <w:rsid w:val="0BD75140"/>
    <w:rsid w:val="0BD821CA"/>
    <w:rsid w:val="0BE00F68"/>
    <w:rsid w:val="0C050B99"/>
    <w:rsid w:val="0C0A4650"/>
    <w:rsid w:val="0C122E87"/>
    <w:rsid w:val="0C142061"/>
    <w:rsid w:val="0C25115F"/>
    <w:rsid w:val="0C30164C"/>
    <w:rsid w:val="0C360B29"/>
    <w:rsid w:val="0C4909C1"/>
    <w:rsid w:val="0C54553C"/>
    <w:rsid w:val="0C5572C4"/>
    <w:rsid w:val="0C6153DA"/>
    <w:rsid w:val="0C680BDD"/>
    <w:rsid w:val="0C715D36"/>
    <w:rsid w:val="0C72723E"/>
    <w:rsid w:val="0C8830F0"/>
    <w:rsid w:val="0C915D6B"/>
    <w:rsid w:val="0C9F0011"/>
    <w:rsid w:val="0CA8035A"/>
    <w:rsid w:val="0CAD361F"/>
    <w:rsid w:val="0CAD70A0"/>
    <w:rsid w:val="0CCA7A68"/>
    <w:rsid w:val="0CE45ABA"/>
    <w:rsid w:val="0CE55D2A"/>
    <w:rsid w:val="0CEA1161"/>
    <w:rsid w:val="0D0E1A16"/>
    <w:rsid w:val="0D10611A"/>
    <w:rsid w:val="0D204464"/>
    <w:rsid w:val="0D245D5D"/>
    <w:rsid w:val="0D2A5D78"/>
    <w:rsid w:val="0D643C93"/>
    <w:rsid w:val="0D840310"/>
    <w:rsid w:val="0D935001"/>
    <w:rsid w:val="0DA75F7E"/>
    <w:rsid w:val="0DAD4CB1"/>
    <w:rsid w:val="0DCE19B4"/>
    <w:rsid w:val="0E14052A"/>
    <w:rsid w:val="0E1B588D"/>
    <w:rsid w:val="0E265F28"/>
    <w:rsid w:val="0E2873E9"/>
    <w:rsid w:val="0E43606C"/>
    <w:rsid w:val="0E744B2D"/>
    <w:rsid w:val="0E8D05E0"/>
    <w:rsid w:val="0E9B3C63"/>
    <w:rsid w:val="0EB4636E"/>
    <w:rsid w:val="0EB75DCA"/>
    <w:rsid w:val="0EC81177"/>
    <w:rsid w:val="0ED12EB4"/>
    <w:rsid w:val="0ED16605"/>
    <w:rsid w:val="0ED97B37"/>
    <w:rsid w:val="0EE3071C"/>
    <w:rsid w:val="0EED2DF2"/>
    <w:rsid w:val="0EF83DB8"/>
    <w:rsid w:val="0F3F316D"/>
    <w:rsid w:val="0F401FA4"/>
    <w:rsid w:val="0F4F57E8"/>
    <w:rsid w:val="0F6C3B60"/>
    <w:rsid w:val="0F6F6315"/>
    <w:rsid w:val="0F711545"/>
    <w:rsid w:val="0F7150A0"/>
    <w:rsid w:val="0F7A125F"/>
    <w:rsid w:val="0F8C2C60"/>
    <w:rsid w:val="0FB81B5B"/>
    <w:rsid w:val="0FD00E8A"/>
    <w:rsid w:val="0FE65A61"/>
    <w:rsid w:val="10090199"/>
    <w:rsid w:val="101B5666"/>
    <w:rsid w:val="10337DDD"/>
    <w:rsid w:val="103656D1"/>
    <w:rsid w:val="103C7917"/>
    <w:rsid w:val="10564A8B"/>
    <w:rsid w:val="10585B65"/>
    <w:rsid w:val="1058602D"/>
    <w:rsid w:val="10795C93"/>
    <w:rsid w:val="108B3AFA"/>
    <w:rsid w:val="10B15280"/>
    <w:rsid w:val="10CF164C"/>
    <w:rsid w:val="10D50461"/>
    <w:rsid w:val="10E24CD8"/>
    <w:rsid w:val="10F15163"/>
    <w:rsid w:val="10F26CDC"/>
    <w:rsid w:val="1104432B"/>
    <w:rsid w:val="11163C77"/>
    <w:rsid w:val="1139732F"/>
    <w:rsid w:val="114A40F6"/>
    <w:rsid w:val="114A7510"/>
    <w:rsid w:val="114C67B8"/>
    <w:rsid w:val="115A53BC"/>
    <w:rsid w:val="11696085"/>
    <w:rsid w:val="117A2D8F"/>
    <w:rsid w:val="118E75B9"/>
    <w:rsid w:val="1194155A"/>
    <w:rsid w:val="119C1623"/>
    <w:rsid w:val="11AB3509"/>
    <w:rsid w:val="11B5299E"/>
    <w:rsid w:val="11BB73DB"/>
    <w:rsid w:val="11CB7B06"/>
    <w:rsid w:val="11E52624"/>
    <w:rsid w:val="11E8124D"/>
    <w:rsid w:val="11F9333E"/>
    <w:rsid w:val="11FE31AD"/>
    <w:rsid w:val="121466AA"/>
    <w:rsid w:val="122B6577"/>
    <w:rsid w:val="12343761"/>
    <w:rsid w:val="123756D1"/>
    <w:rsid w:val="123B7167"/>
    <w:rsid w:val="124E5F2C"/>
    <w:rsid w:val="12597E87"/>
    <w:rsid w:val="125B3739"/>
    <w:rsid w:val="126943EE"/>
    <w:rsid w:val="12732989"/>
    <w:rsid w:val="127642D8"/>
    <w:rsid w:val="12865675"/>
    <w:rsid w:val="129A697A"/>
    <w:rsid w:val="12C6189A"/>
    <w:rsid w:val="12CE785B"/>
    <w:rsid w:val="12D16BCB"/>
    <w:rsid w:val="12DC2AAB"/>
    <w:rsid w:val="12E74E3F"/>
    <w:rsid w:val="12ED7F8F"/>
    <w:rsid w:val="12F04674"/>
    <w:rsid w:val="12FE1AE7"/>
    <w:rsid w:val="13190BA4"/>
    <w:rsid w:val="13293F8A"/>
    <w:rsid w:val="132A5815"/>
    <w:rsid w:val="13356A71"/>
    <w:rsid w:val="134854F2"/>
    <w:rsid w:val="13594F2D"/>
    <w:rsid w:val="13714DE1"/>
    <w:rsid w:val="13A70B15"/>
    <w:rsid w:val="13B72E13"/>
    <w:rsid w:val="13BA32C6"/>
    <w:rsid w:val="13DE4A24"/>
    <w:rsid w:val="13FA68E0"/>
    <w:rsid w:val="14003B68"/>
    <w:rsid w:val="14077165"/>
    <w:rsid w:val="140A4876"/>
    <w:rsid w:val="14231FAC"/>
    <w:rsid w:val="14264818"/>
    <w:rsid w:val="145378D4"/>
    <w:rsid w:val="1463315F"/>
    <w:rsid w:val="14664519"/>
    <w:rsid w:val="146F09C5"/>
    <w:rsid w:val="147441B4"/>
    <w:rsid w:val="14745B8C"/>
    <w:rsid w:val="14832530"/>
    <w:rsid w:val="14936D19"/>
    <w:rsid w:val="14A10A86"/>
    <w:rsid w:val="14F33B67"/>
    <w:rsid w:val="151E62FD"/>
    <w:rsid w:val="151F03B5"/>
    <w:rsid w:val="15213B3E"/>
    <w:rsid w:val="153A65BE"/>
    <w:rsid w:val="15422B45"/>
    <w:rsid w:val="156629A4"/>
    <w:rsid w:val="156A38D6"/>
    <w:rsid w:val="1584295D"/>
    <w:rsid w:val="158735B1"/>
    <w:rsid w:val="15895244"/>
    <w:rsid w:val="159D0524"/>
    <w:rsid w:val="159E013D"/>
    <w:rsid w:val="15B930E4"/>
    <w:rsid w:val="15BA0961"/>
    <w:rsid w:val="15BC6BCB"/>
    <w:rsid w:val="15D32868"/>
    <w:rsid w:val="15EE1192"/>
    <w:rsid w:val="15F80154"/>
    <w:rsid w:val="15FD0081"/>
    <w:rsid w:val="161713B9"/>
    <w:rsid w:val="162117F2"/>
    <w:rsid w:val="163D38BD"/>
    <w:rsid w:val="16410197"/>
    <w:rsid w:val="164432FC"/>
    <w:rsid w:val="164928AA"/>
    <w:rsid w:val="166867F9"/>
    <w:rsid w:val="16746A12"/>
    <w:rsid w:val="16763172"/>
    <w:rsid w:val="167E2633"/>
    <w:rsid w:val="168431DE"/>
    <w:rsid w:val="168C763B"/>
    <w:rsid w:val="1690501F"/>
    <w:rsid w:val="16B22F9A"/>
    <w:rsid w:val="16B40DDF"/>
    <w:rsid w:val="16D147CF"/>
    <w:rsid w:val="16DB2D50"/>
    <w:rsid w:val="16DE5569"/>
    <w:rsid w:val="16E8299C"/>
    <w:rsid w:val="16F40010"/>
    <w:rsid w:val="16FB1042"/>
    <w:rsid w:val="17096A52"/>
    <w:rsid w:val="170A608F"/>
    <w:rsid w:val="17176EC0"/>
    <w:rsid w:val="171A22E9"/>
    <w:rsid w:val="173213AE"/>
    <w:rsid w:val="1735048C"/>
    <w:rsid w:val="173C70F5"/>
    <w:rsid w:val="174206F3"/>
    <w:rsid w:val="1761165F"/>
    <w:rsid w:val="176B4C2E"/>
    <w:rsid w:val="17912DBB"/>
    <w:rsid w:val="179E2BB2"/>
    <w:rsid w:val="17A31E57"/>
    <w:rsid w:val="17A41A09"/>
    <w:rsid w:val="17BE7705"/>
    <w:rsid w:val="17DE1931"/>
    <w:rsid w:val="17E43CA4"/>
    <w:rsid w:val="1803234F"/>
    <w:rsid w:val="181110AB"/>
    <w:rsid w:val="181F7B0D"/>
    <w:rsid w:val="184D7361"/>
    <w:rsid w:val="18611ADF"/>
    <w:rsid w:val="18660D83"/>
    <w:rsid w:val="186D3AC6"/>
    <w:rsid w:val="188F0361"/>
    <w:rsid w:val="18A34D8C"/>
    <w:rsid w:val="18AD0BE1"/>
    <w:rsid w:val="18B619A6"/>
    <w:rsid w:val="18BB43F9"/>
    <w:rsid w:val="18BD2A66"/>
    <w:rsid w:val="18BF665B"/>
    <w:rsid w:val="18C13AC1"/>
    <w:rsid w:val="18D119EE"/>
    <w:rsid w:val="190524A1"/>
    <w:rsid w:val="19111C94"/>
    <w:rsid w:val="193809C2"/>
    <w:rsid w:val="194361A3"/>
    <w:rsid w:val="194C65D6"/>
    <w:rsid w:val="194E641E"/>
    <w:rsid w:val="19651738"/>
    <w:rsid w:val="198365E2"/>
    <w:rsid w:val="198515AA"/>
    <w:rsid w:val="19976995"/>
    <w:rsid w:val="19B044DF"/>
    <w:rsid w:val="19FA5475"/>
    <w:rsid w:val="19FC6A1D"/>
    <w:rsid w:val="1A110767"/>
    <w:rsid w:val="1A1964F4"/>
    <w:rsid w:val="1A576AE8"/>
    <w:rsid w:val="1A5B26FC"/>
    <w:rsid w:val="1A613F40"/>
    <w:rsid w:val="1A6450AE"/>
    <w:rsid w:val="1A6C7A51"/>
    <w:rsid w:val="1A6F3D1D"/>
    <w:rsid w:val="1A742AE7"/>
    <w:rsid w:val="1A851E5E"/>
    <w:rsid w:val="1A976D8E"/>
    <w:rsid w:val="1A9A00BD"/>
    <w:rsid w:val="1A9F3526"/>
    <w:rsid w:val="1AB60854"/>
    <w:rsid w:val="1AB62259"/>
    <w:rsid w:val="1ABC5BE3"/>
    <w:rsid w:val="1ACB068F"/>
    <w:rsid w:val="1ADB5923"/>
    <w:rsid w:val="1ADF24BC"/>
    <w:rsid w:val="1AFB2F34"/>
    <w:rsid w:val="1B111758"/>
    <w:rsid w:val="1B13259F"/>
    <w:rsid w:val="1B142E41"/>
    <w:rsid w:val="1B1C4A6C"/>
    <w:rsid w:val="1B1F0131"/>
    <w:rsid w:val="1B2372F3"/>
    <w:rsid w:val="1B2709C3"/>
    <w:rsid w:val="1B2C2EBB"/>
    <w:rsid w:val="1B300A8F"/>
    <w:rsid w:val="1B3028D7"/>
    <w:rsid w:val="1B344A57"/>
    <w:rsid w:val="1B364075"/>
    <w:rsid w:val="1B387860"/>
    <w:rsid w:val="1B5A266B"/>
    <w:rsid w:val="1B6F3157"/>
    <w:rsid w:val="1B745152"/>
    <w:rsid w:val="1B763A15"/>
    <w:rsid w:val="1B941FF2"/>
    <w:rsid w:val="1BB04D0E"/>
    <w:rsid w:val="1BB91E00"/>
    <w:rsid w:val="1BC0329E"/>
    <w:rsid w:val="1BC863D0"/>
    <w:rsid w:val="1BD5591D"/>
    <w:rsid w:val="1BEE1C03"/>
    <w:rsid w:val="1BEF1A51"/>
    <w:rsid w:val="1BF4507F"/>
    <w:rsid w:val="1C01157A"/>
    <w:rsid w:val="1C337FF5"/>
    <w:rsid w:val="1C3B4532"/>
    <w:rsid w:val="1C3F63C6"/>
    <w:rsid w:val="1C495A9B"/>
    <w:rsid w:val="1C4A4F18"/>
    <w:rsid w:val="1C4C62F2"/>
    <w:rsid w:val="1C6063BC"/>
    <w:rsid w:val="1C677760"/>
    <w:rsid w:val="1C7721AC"/>
    <w:rsid w:val="1C8342C9"/>
    <w:rsid w:val="1C835541"/>
    <w:rsid w:val="1CA035D9"/>
    <w:rsid w:val="1CA63F16"/>
    <w:rsid w:val="1CB63D17"/>
    <w:rsid w:val="1CBE15B8"/>
    <w:rsid w:val="1CC70AAE"/>
    <w:rsid w:val="1CF93C71"/>
    <w:rsid w:val="1CF97B60"/>
    <w:rsid w:val="1D030883"/>
    <w:rsid w:val="1D0F0B56"/>
    <w:rsid w:val="1D1D75F2"/>
    <w:rsid w:val="1D5039A9"/>
    <w:rsid w:val="1D670B14"/>
    <w:rsid w:val="1D8131AA"/>
    <w:rsid w:val="1D924EB5"/>
    <w:rsid w:val="1D9F65B1"/>
    <w:rsid w:val="1DA002EB"/>
    <w:rsid w:val="1DB92F0D"/>
    <w:rsid w:val="1DD7785D"/>
    <w:rsid w:val="1DE0242C"/>
    <w:rsid w:val="1DE02E8C"/>
    <w:rsid w:val="1DE13D33"/>
    <w:rsid w:val="1DFB418B"/>
    <w:rsid w:val="1E061D8D"/>
    <w:rsid w:val="1E1510B3"/>
    <w:rsid w:val="1E1B06D7"/>
    <w:rsid w:val="1E1D003B"/>
    <w:rsid w:val="1E2A636A"/>
    <w:rsid w:val="1E2B5895"/>
    <w:rsid w:val="1E2C710D"/>
    <w:rsid w:val="1E3F71AC"/>
    <w:rsid w:val="1E407FC7"/>
    <w:rsid w:val="1E484768"/>
    <w:rsid w:val="1E4946FB"/>
    <w:rsid w:val="1E4A65BA"/>
    <w:rsid w:val="1E506677"/>
    <w:rsid w:val="1E5A2DA3"/>
    <w:rsid w:val="1E611165"/>
    <w:rsid w:val="1E6C6427"/>
    <w:rsid w:val="1E7646AA"/>
    <w:rsid w:val="1E8E147E"/>
    <w:rsid w:val="1E965D04"/>
    <w:rsid w:val="1E9A11F9"/>
    <w:rsid w:val="1EA26379"/>
    <w:rsid w:val="1EC13239"/>
    <w:rsid w:val="1ED352F2"/>
    <w:rsid w:val="1ED920BE"/>
    <w:rsid w:val="1EDC0422"/>
    <w:rsid w:val="1EEF21E7"/>
    <w:rsid w:val="1EF7470E"/>
    <w:rsid w:val="1F05265B"/>
    <w:rsid w:val="1F073AFB"/>
    <w:rsid w:val="1F0E2E4B"/>
    <w:rsid w:val="1F1068A9"/>
    <w:rsid w:val="1F11207D"/>
    <w:rsid w:val="1F3309E4"/>
    <w:rsid w:val="1F3C6344"/>
    <w:rsid w:val="1F5435CA"/>
    <w:rsid w:val="1F546D45"/>
    <w:rsid w:val="1F6A639E"/>
    <w:rsid w:val="1F8132C8"/>
    <w:rsid w:val="1FA02744"/>
    <w:rsid w:val="1FAC011C"/>
    <w:rsid w:val="1FC24714"/>
    <w:rsid w:val="1FCC3990"/>
    <w:rsid w:val="1FCE5C30"/>
    <w:rsid w:val="200C298F"/>
    <w:rsid w:val="201C54FE"/>
    <w:rsid w:val="202A4D90"/>
    <w:rsid w:val="20435529"/>
    <w:rsid w:val="20475A9E"/>
    <w:rsid w:val="20517E69"/>
    <w:rsid w:val="20530F08"/>
    <w:rsid w:val="20557C04"/>
    <w:rsid w:val="2061066F"/>
    <w:rsid w:val="2066350B"/>
    <w:rsid w:val="20800FD1"/>
    <w:rsid w:val="208701DC"/>
    <w:rsid w:val="20942936"/>
    <w:rsid w:val="20AD1511"/>
    <w:rsid w:val="20AD6182"/>
    <w:rsid w:val="20AE71CD"/>
    <w:rsid w:val="20C75587"/>
    <w:rsid w:val="20D15670"/>
    <w:rsid w:val="20DD7EA1"/>
    <w:rsid w:val="20EC6F0D"/>
    <w:rsid w:val="20EF3849"/>
    <w:rsid w:val="21114D59"/>
    <w:rsid w:val="212707FC"/>
    <w:rsid w:val="216779C3"/>
    <w:rsid w:val="216D73A5"/>
    <w:rsid w:val="2181475C"/>
    <w:rsid w:val="21855F4F"/>
    <w:rsid w:val="218D6398"/>
    <w:rsid w:val="21A42013"/>
    <w:rsid w:val="21C614F6"/>
    <w:rsid w:val="21D57E5D"/>
    <w:rsid w:val="21EE083C"/>
    <w:rsid w:val="220B38D3"/>
    <w:rsid w:val="220F27AB"/>
    <w:rsid w:val="223029AE"/>
    <w:rsid w:val="224B1241"/>
    <w:rsid w:val="22565E31"/>
    <w:rsid w:val="226C24D9"/>
    <w:rsid w:val="227540C8"/>
    <w:rsid w:val="229645DF"/>
    <w:rsid w:val="22C27C6F"/>
    <w:rsid w:val="22C438D9"/>
    <w:rsid w:val="22C90127"/>
    <w:rsid w:val="22CA0EA2"/>
    <w:rsid w:val="22D008F7"/>
    <w:rsid w:val="22D42D6B"/>
    <w:rsid w:val="22DB4629"/>
    <w:rsid w:val="22DF5D82"/>
    <w:rsid w:val="22E9418C"/>
    <w:rsid w:val="22FD581D"/>
    <w:rsid w:val="231330FC"/>
    <w:rsid w:val="23145EA4"/>
    <w:rsid w:val="231A6446"/>
    <w:rsid w:val="23200D04"/>
    <w:rsid w:val="23252F62"/>
    <w:rsid w:val="2329015A"/>
    <w:rsid w:val="23301F3E"/>
    <w:rsid w:val="23365805"/>
    <w:rsid w:val="233D41F6"/>
    <w:rsid w:val="233E1D9D"/>
    <w:rsid w:val="235A23F9"/>
    <w:rsid w:val="23690BF3"/>
    <w:rsid w:val="23734665"/>
    <w:rsid w:val="238A746E"/>
    <w:rsid w:val="23A70DB3"/>
    <w:rsid w:val="23D003FB"/>
    <w:rsid w:val="23E06FF0"/>
    <w:rsid w:val="23F26B67"/>
    <w:rsid w:val="23FF3EDE"/>
    <w:rsid w:val="240475CB"/>
    <w:rsid w:val="24200DB1"/>
    <w:rsid w:val="24321DFA"/>
    <w:rsid w:val="24530C8F"/>
    <w:rsid w:val="24636547"/>
    <w:rsid w:val="24670AC8"/>
    <w:rsid w:val="24717D47"/>
    <w:rsid w:val="249C788A"/>
    <w:rsid w:val="24B82B32"/>
    <w:rsid w:val="24BB6D5B"/>
    <w:rsid w:val="24DC6375"/>
    <w:rsid w:val="24F755BB"/>
    <w:rsid w:val="24FA5375"/>
    <w:rsid w:val="25167458"/>
    <w:rsid w:val="251E581D"/>
    <w:rsid w:val="252A368C"/>
    <w:rsid w:val="253317B8"/>
    <w:rsid w:val="2537641D"/>
    <w:rsid w:val="253C3EF7"/>
    <w:rsid w:val="2558795E"/>
    <w:rsid w:val="255E089E"/>
    <w:rsid w:val="257F5882"/>
    <w:rsid w:val="259338FB"/>
    <w:rsid w:val="25987884"/>
    <w:rsid w:val="25BF330D"/>
    <w:rsid w:val="25C27A7C"/>
    <w:rsid w:val="25C76039"/>
    <w:rsid w:val="25E1520A"/>
    <w:rsid w:val="25E31DB1"/>
    <w:rsid w:val="25F341F9"/>
    <w:rsid w:val="25FD4EFD"/>
    <w:rsid w:val="2603678D"/>
    <w:rsid w:val="26050C41"/>
    <w:rsid w:val="261A0D6A"/>
    <w:rsid w:val="263F4733"/>
    <w:rsid w:val="264826D8"/>
    <w:rsid w:val="26486C62"/>
    <w:rsid w:val="26581526"/>
    <w:rsid w:val="26845C6C"/>
    <w:rsid w:val="26873841"/>
    <w:rsid w:val="269408C3"/>
    <w:rsid w:val="269C0FD7"/>
    <w:rsid w:val="26A244E0"/>
    <w:rsid w:val="26AA04BC"/>
    <w:rsid w:val="26AF5A72"/>
    <w:rsid w:val="26BE55EA"/>
    <w:rsid w:val="26C35476"/>
    <w:rsid w:val="26C762DB"/>
    <w:rsid w:val="26DC20E5"/>
    <w:rsid w:val="26F97745"/>
    <w:rsid w:val="270E3585"/>
    <w:rsid w:val="274B353E"/>
    <w:rsid w:val="27524FD4"/>
    <w:rsid w:val="275319F4"/>
    <w:rsid w:val="27613BAA"/>
    <w:rsid w:val="276A2C20"/>
    <w:rsid w:val="276E6872"/>
    <w:rsid w:val="278E3101"/>
    <w:rsid w:val="27941CFF"/>
    <w:rsid w:val="27BC1DF8"/>
    <w:rsid w:val="28076074"/>
    <w:rsid w:val="280D4614"/>
    <w:rsid w:val="281779DF"/>
    <w:rsid w:val="281846D4"/>
    <w:rsid w:val="282F78FD"/>
    <w:rsid w:val="28436F61"/>
    <w:rsid w:val="286A2391"/>
    <w:rsid w:val="28701CC5"/>
    <w:rsid w:val="28724132"/>
    <w:rsid w:val="287B3EE7"/>
    <w:rsid w:val="287B59F6"/>
    <w:rsid w:val="28847D06"/>
    <w:rsid w:val="288F48FB"/>
    <w:rsid w:val="28974169"/>
    <w:rsid w:val="28AC0ECF"/>
    <w:rsid w:val="28AE2264"/>
    <w:rsid w:val="28B300A9"/>
    <w:rsid w:val="28BE57FD"/>
    <w:rsid w:val="28C01F1D"/>
    <w:rsid w:val="28C14CAA"/>
    <w:rsid w:val="28D35487"/>
    <w:rsid w:val="28EB33ED"/>
    <w:rsid w:val="29001D45"/>
    <w:rsid w:val="290D0C20"/>
    <w:rsid w:val="29154A5F"/>
    <w:rsid w:val="29162105"/>
    <w:rsid w:val="291D6CFF"/>
    <w:rsid w:val="291E564E"/>
    <w:rsid w:val="293E65FB"/>
    <w:rsid w:val="29454998"/>
    <w:rsid w:val="294C285A"/>
    <w:rsid w:val="29741CFA"/>
    <w:rsid w:val="297C2E49"/>
    <w:rsid w:val="29941624"/>
    <w:rsid w:val="299554BA"/>
    <w:rsid w:val="29956056"/>
    <w:rsid w:val="29A53D2B"/>
    <w:rsid w:val="29AA3C23"/>
    <w:rsid w:val="29BF59D6"/>
    <w:rsid w:val="29C53546"/>
    <w:rsid w:val="29C941A2"/>
    <w:rsid w:val="29EB49C9"/>
    <w:rsid w:val="29EF3FB8"/>
    <w:rsid w:val="29F12286"/>
    <w:rsid w:val="29FB2966"/>
    <w:rsid w:val="2A1D7695"/>
    <w:rsid w:val="2A2B2E5B"/>
    <w:rsid w:val="2A37472F"/>
    <w:rsid w:val="2A3A63BF"/>
    <w:rsid w:val="2A411009"/>
    <w:rsid w:val="2A48150B"/>
    <w:rsid w:val="2A4C0A1A"/>
    <w:rsid w:val="2A4C6A3D"/>
    <w:rsid w:val="2A633D38"/>
    <w:rsid w:val="2A655AFF"/>
    <w:rsid w:val="2A715DEA"/>
    <w:rsid w:val="2A97631D"/>
    <w:rsid w:val="2AAA2608"/>
    <w:rsid w:val="2AB4054B"/>
    <w:rsid w:val="2AB843C9"/>
    <w:rsid w:val="2ABA2381"/>
    <w:rsid w:val="2AD307BD"/>
    <w:rsid w:val="2AEA4C38"/>
    <w:rsid w:val="2AFE46B0"/>
    <w:rsid w:val="2AFE4B17"/>
    <w:rsid w:val="2B073FBC"/>
    <w:rsid w:val="2B0C18DB"/>
    <w:rsid w:val="2B195CFA"/>
    <w:rsid w:val="2B20072F"/>
    <w:rsid w:val="2B22095A"/>
    <w:rsid w:val="2B2C2229"/>
    <w:rsid w:val="2B392180"/>
    <w:rsid w:val="2B3C1D66"/>
    <w:rsid w:val="2B3E28EB"/>
    <w:rsid w:val="2B430D79"/>
    <w:rsid w:val="2B6E1F63"/>
    <w:rsid w:val="2B9215B2"/>
    <w:rsid w:val="2BA00ED4"/>
    <w:rsid w:val="2BA42C24"/>
    <w:rsid w:val="2BB623FD"/>
    <w:rsid w:val="2BC566C7"/>
    <w:rsid w:val="2BC81736"/>
    <w:rsid w:val="2BE3479D"/>
    <w:rsid w:val="2BFB3F34"/>
    <w:rsid w:val="2C0E0D00"/>
    <w:rsid w:val="2C19133D"/>
    <w:rsid w:val="2C1A1B3D"/>
    <w:rsid w:val="2C221397"/>
    <w:rsid w:val="2C30292D"/>
    <w:rsid w:val="2C81653D"/>
    <w:rsid w:val="2CB9247E"/>
    <w:rsid w:val="2CDE21F1"/>
    <w:rsid w:val="2CF42A2C"/>
    <w:rsid w:val="2D1547AA"/>
    <w:rsid w:val="2D1C0C8B"/>
    <w:rsid w:val="2D500625"/>
    <w:rsid w:val="2D511CF8"/>
    <w:rsid w:val="2D8E5DB3"/>
    <w:rsid w:val="2D9C231F"/>
    <w:rsid w:val="2D9F3C27"/>
    <w:rsid w:val="2DAB019F"/>
    <w:rsid w:val="2DB15F1B"/>
    <w:rsid w:val="2DE44B7D"/>
    <w:rsid w:val="2DE85A59"/>
    <w:rsid w:val="2DF93AA5"/>
    <w:rsid w:val="2DFE7775"/>
    <w:rsid w:val="2E00515D"/>
    <w:rsid w:val="2E153C96"/>
    <w:rsid w:val="2E1D043E"/>
    <w:rsid w:val="2E2C3CC9"/>
    <w:rsid w:val="2E2D39B2"/>
    <w:rsid w:val="2E3944DD"/>
    <w:rsid w:val="2E524DAC"/>
    <w:rsid w:val="2E553313"/>
    <w:rsid w:val="2E64764D"/>
    <w:rsid w:val="2E6C4C6B"/>
    <w:rsid w:val="2E760F81"/>
    <w:rsid w:val="2E7A64DB"/>
    <w:rsid w:val="2E7D159C"/>
    <w:rsid w:val="2E7F0E45"/>
    <w:rsid w:val="2E816717"/>
    <w:rsid w:val="2EA3697A"/>
    <w:rsid w:val="2EB774D0"/>
    <w:rsid w:val="2ECA73B5"/>
    <w:rsid w:val="2ED62883"/>
    <w:rsid w:val="2EE04406"/>
    <w:rsid w:val="2EE461BC"/>
    <w:rsid w:val="2EE642AD"/>
    <w:rsid w:val="2EEF61D4"/>
    <w:rsid w:val="2F05447E"/>
    <w:rsid w:val="2F3736E9"/>
    <w:rsid w:val="2F3F6D21"/>
    <w:rsid w:val="2F403C93"/>
    <w:rsid w:val="2F427B64"/>
    <w:rsid w:val="2F594B37"/>
    <w:rsid w:val="2F643B70"/>
    <w:rsid w:val="2F7A7771"/>
    <w:rsid w:val="2F8E7570"/>
    <w:rsid w:val="2FA70B41"/>
    <w:rsid w:val="2FAE780E"/>
    <w:rsid w:val="2FC23CCE"/>
    <w:rsid w:val="2FEA61C6"/>
    <w:rsid w:val="2FEC4ED7"/>
    <w:rsid w:val="2FF46A33"/>
    <w:rsid w:val="30164ACC"/>
    <w:rsid w:val="301746AE"/>
    <w:rsid w:val="301A510E"/>
    <w:rsid w:val="302723EF"/>
    <w:rsid w:val="30446691"/>
    <w:rsid w:val="30536DA5"/>
    <w:rsid w:val="30555F0B"/>
    <w:rsid w:val="305B18F9"/>
    <w:rsid w:val="306675DB"/>
    <w:rsid w:val="306F4A5C"/>
    <w:rsid w:val="30704F1E"/>
    <w:rsid w:val="30B74EB9"/>
    <w:rsid w:val="30B76DD1"/>
    <w:rsid w:val="31130579"/>
    <w:rsid w:val="31150AF7"/>
    <w:rsid w:val="312641E3"/>
    <w:rsid w:val="312977F5"/>
    <w:rsid w:val="3140510D"/>
    <w:rsid w:val="31490B16"/>
    <w:rsid w:val="31500AF0"/>
    <w:rsid w:val="31606BA9"/>
    <w:rsid w:val="317B5137"/>
    <w:rsid w:val="31A3012B"/>
    <w:rsid w:val="31B173FD"/>
    <w:rsid w:val="31B535AF"/>
    <w:rsid w:val="31D73965"/>
    <w:rsid w:val="31EA44FA"/>
    <w:rsid w:val="31F304A6"/>
    <w:rsid w:val="32091243"/>
    <w:rsid w:val="32294765"/>
    <w:rsid w:val="327E7CD9"/>
    <w:rsid w:val="32801E63"/>
    <w:rsid w:val="32825CFA"/>
    <w:rsid w:val="32843AED"/>
    <w:rsid w:val="32AD230C"/>
    <w:rsid w:val="32B56E69"/>
    <w:rsid w:val="32F445A5"/>
    <w:rsid w:val="32F4543A"/>
    <w:rsid w:val="32FC5FC6"/>
    <w:rsid w:val="330F4401"/>
    <w:rsid w:val="331E1E02"/>
    <w:rsid w:val="33353215"/>
    <w:rsid w:val="333A0151"/>
    <w:rsid w:val="33435036"/>
    <w:rsid w:val="3346158D"/>
    <w:rsid w:val="33472431"/>
    <w:rsid w:val="335D7B29"/>
    <w:rsid w:val="336B0B61"/>
    <w:rsid w:val="338A4629"/>
    <w:rsid w:val="338B2C59"/>
    <w:rsid w:val="338C3ABE"/>
    <w:rsid w:val="33A867A1"/>
    <w:rsid w:val="33BE0CB2"/>
    <w:rsid w:val="33C02706"/>
    <w:rsid w:val="33D21CA6"/>
    <w:rsid w:val="33D47F14"/>
    <w:rsid w:val="33EA7980"/>
    <w:rsid w:val="33F133C2"/>
    <w:rsid w:val="33F943AC"/>
    <w:rsid w:val="341548E7"/>
    <w:rsid w:val="34251F8E"/>
    <w:rsid w:val="345A7961"/>
    <w:rsid w:val="347A05C3"/>
    <w:rsid w:val="347B1805"/>
    <w:rsid w:val="347E5080"/>
    <w:rsid w:val="34821013"/>
    <w:rsid w:val="348D4D75"/>
    <w:rsid w:val="34902CE5"/>
    <w:rsid w:val="34965FFC"/>
    <w:rsid w:val="349E0792"/>
    <w:rsid w:val="34B475AD"/>
    <w:rsid w:val="34C1398D"/>
    <w:rsid w:val="34D33C1F"/>
    <w:rsid w:val="34DB71D0"/>
    <w:rsid w:val="34E077DE"/>
    <w:rsid w:val="34EB3FFA"/>
    <w:rsid w:val="34F10881"/>
    <w:rsid w:val="351911D3"/>
    <w:rsid w:val="351C58FB"/>
    <w:rsid w:val="35493147"/>
    <w:rsid w:val="35572F42"/>
    <w:rsid w:val="35597C68"/>
    <w:rsid w:val="35680A2A"/>
    <w:rsid w:val="35682CA4"/>
    <w:rsid w:val="356E5C0E"/>
    <w:rsid w:val="357375C4"/>
    <w:rsid w:val="357A743D"/>
    <w:rsid w:val="358A1549"/>
    <w:rsid w:val="358B52B4"/>
    <w:rsid w:val="35990A65"/>
    <w:rsid w:val="359D6299"/>
    <w:rsid w:val="35A6171B"/>
    <w:rsid w:val="35A82F5F"/>
    <w:rsid w:val="35B603F5"/>
    <w:rsid w:val="35CC2089"/>
    <w:rsid w:val="35EF1F65"/>
    <w:rsid w:val="35EF4E9F"/>
    <w:rsid w:val="36011B96"/>
    <w:rsid w:val="360D3064"/>
    <w:rsid w:val="361D72E9"/>
    <w:rsid w:val="3623079F"/>
    <w:rsid w:val="3652616D"/>
    <w:rsid w:val="366046B9"/>
    <w:rsid w:val="366135C0"/>
    <w:rsid w:val="366A5627"/>
    <w:rsid w:val="36710AA2"/>
    <w:rsid w:val="36A569E5"/>
    <w:rsid w:val="36AB4974"/>
    <w:rsid w:val="36AC26B2"/>
    <w:rsid w:val="36C81B5B"/>
    <w:rsid w:val="36CA4796"/>
    <w:rsid w:val="36D305E5"/>
    <w:rsid w:val="36EA7FF2"/>
    <w:rsid w:val="37017235"/>
    <w:rsid w:val="373D169F"/>
    <w:rsid w:val="374E143A"/>
    <w:rsid w:val="375145A6"/>
    <w:rsid w:val="37522485"/>
    <w:rsid w:val="375410DA"/>
    <w:rsid w:val="37613C52"/>
    <w:rsid w:val="376F2885"/>
    <w:rsid w:val="377835C6"/>
    <w:rsid w:val="37A73BC0"/>
    <w:rsid w:val="37DD1744"/>
    <w:rsid w:val="37F25243"/>
    <w:rsid w:val="380255AF"/>
    <w:rsid w:val="38333626"/>
    <w:rsid w:val="384E441A"/>
    <w:rsid w:val="38506C2F"/>
    <w:rsid w:val="385B041C"/>
    <w:rsid w:val="38803B23"/>
    <w:rsid w:val="38846DCC"/>
    <w:rsid w:val="38877CF7"/>
    <w:rsid w:val="38922D44"/>
    <w:rsid w:val="38955FFB"/>
    <w:rsid w:val="38961914"/>
    <w:rsid w:val="38AF3010"/>
    <w:rsid w:val="38D822E9"/>
    <w:rsid w:val="38DD6A3B"/>
    <w:rsid w:val="38E03474"/>
    <w:rsid w:val="38E2286A"/>
    <w:rsid w:val="38E32D4B"/>
    <w:rsid w:val="38E94228"/>
    <w:rsid w:val="39051B96"/>
    <w:rsid w:val="39090EB2"/>
    <w:rsid w:val="390A09B4"/>
    <w:rsid w:val="390A6053"/>
    <w:rsid w:val="390B2C76"/>
    <w:rsid w:val="391644FB"/>
    <w:rsid w:val="39174D66"/>
    <w:rsid w:val="39257351"/>
    <w:rsid w:val="392F0F3D"/>
    <w:rsid w:val="39322F95"/>
    <w:rsid w:val="39430A5E"/>
    <w:rsid w:val="39602F23"/>
    <w:rsid w:val="396B4334"/>
    <w:rsid w:val="396B58C4"/>
    <w:rsid w:val="39734D18"/>
    <w:rsid w:val="397B0BB4"/>
    <w:rsid w:val="399B3376"/>
    <w:rsid w:val="39A64195"/>
    <w:rsid w:val="39AF1465"/>
    <w:rsid w:val="39C04E20"/>
    <w:rsid w:val="39CA3463"/>
    <w:rsid w:val="39CF6662"/>
    <w:rsid w:val="39E80849"/>
    <w:rsid w:val="39F2252B"/>
    <w:rsid w:val="3A0E5A41"/>
    <w:rsid w:val="3A2175BE"/>
    <w:rsid w:val="3A2436D1"/>
    <w:rsid w:val="3A2A7F00"/>
    <w:rsid w:val="3A3D7EB7"/>
    <w:rsid w:val="3A593D19"/>
    <w:rsid w:val="3A604E13"/>
    <w:rsid w:val="3A6A27D7"/>
    <w:rsid w:val="3ABC09E4"/>
    <w:rsid w:val="3AC407C9"/>
    <w:rsid w:val="3ADD1A06"/>
    <w:rsid w:val="3AE157E3"/>
    <w:rsid w:val="3AF06CC1"/>
    <w:rsid w:val="3B183E18"/>
    <w:rsid w:val="3B215631"/>
    <w:rsid w:val="3B2D6711"/>
    <w:rsid w:val="3B51309B"/>
    <w:rsid w:val="3B883403"/>
    <w:rsid w:val="3B954F85"/>
    <w:rsid w:val="3B9C0E95"/>
    <w:rsid w:val="3BA96A60"/>
    <w:rsid w:val="3BBD0AD4"/>
    <w:rsid w:val="3BF45435"/>
    <w:rsid w:val="3BFE5D03"/>
    <w:rsid w:val="3C0248C3"/>
    <w:rsid w:val="3C072215"/>
    <w:rsid w:val="3C120B6A"/>
    <w:rsid w:val="3C167592"/>
    <w:rsid w:val="3C170EB9"/>
    <w:rsid w:val="3C20419A"/>
    <w:rsid w:val="3C250799"/>
    <w:rsid w:val="3C276162"/>
    <w:rsid w:val="3C2B1BD6"/>
    <w:rsid w:val="3C2C17DF"/>
    <w:rsid w:val="3C396A58"/>
    <w:rsid w:val="3C46457B"/>
    <w:rsid w:val="3C663D83"/>
    <w:rsid w:val="3C714A0F"/>
    <w:rsid w:val="3C762FBC"/>
    <w:rsid w:val="3C8330A0"/>
    <w:rsid w:val="3C9108DC"/>
    <w:rsid w:val="3CA427D7"/>
    <w:rsid w:val="3CA431D4"/>
    <w:rsid w:val="3CA86B29"/>
    <w:rsid w:val="3CAC710F"/>
    <w:rsid w:val="3CBD03A6"/>
    <w:rsid w:val="3CDC27C9"/>
    <w:rsid w:val="3CE068D8"/>
    <w:rsid w:val="3CF21AEE"/>
    <w:rsid w:val="3D0A22D5"/>
    <w:rsid w:val="3D0B5F2D"/>
    <w:rsid w:val="3D114B5C"/>
    <w:rsid w:val="3D193B16"/>
    <w:rsid w:val="3D3F2810"/>
    <w:rsid w:val="3D484D37"/>
    <w:rsid w:val="3D495DF7"/>
    <w:rsid w:val="3D851633"/>
    <w:rsid w:val="3D875BB8"/>
    <w:rsid w:val="3DA91999"/>
    <w:rsid w:val="3DBF1661"/>
    <w:rsid w:val="3DC52A92"/>
    <w:rsid w:val="3DE04793"/>
    <w:rsid w:val="3E051FCE"/>
    <w:rsid w:val="3E1756B6"/>
    <w:rsid w:val="3E1920C0"/>
    <w:rsid w:val="3E2048C2"/>
    <w:rsid w:val="3E28471D"/>
    <w:rsid w:val="3E42659A"/>
    <w:rsid w:val="3E4C01AB"/>
    <w:rsid w:val="3E4C632F"/>
    <w:rsid w:val="3E5E3BF8"/>
    <w:rsid w:val="3E5F70CE"/>
    <w:rsid w:val="3E610DA9"/>
    <w:rsid w:val="3E645172"/>
    <w:rsid w:val="3E6F2452"/>
    <w:rsid w:val="3E701062"/>
    <w:rsid w:val="3E77442B"/>
    <w:rsid w:val="3E9E1189"/>
    <w:rsid w:val="3EAC39B4"/>
    <w:rsid w:val="3EC11BF7"/>
    <w:rsid w:val="3EE42EB1"/>
    <w:rsid w:val="3EF169DA"/>
    <w:rsid w:val="3EF93089"/>
    <w:rsid w:val="3F0E4239"/>
    <w:rsid w:val="3F127531"/>
    <w:rsid w:val="3F2B4E96"/>
    <w:rsid w:val="3F3A7BF4"/>
    <w:rsid w:val="3F507482"/>
    <w:rsid w:val="3F5661ED"/>
    <w:rsid w:val="3F5C181E"/>
    <w:rsid w:val="3F5F79CA"/>
    <w:rsid w:val="3F6263C0"/>
    <w:rsid w:val="3F650930"/>
    <w:rsid w:val="3F700303"/>
    <w:rsid w:val="3F755AF4"/>
    <w:rsid w:val="3F7A035D"/>
    <w:rsid w:val="3F7A4AAC"/>
    <w:rsid w:val="3F7F2AED"/>
    <w:rsid w:val="3F8568C6"/>
    <w:rsid w:val="3F895D56"/>
    <w:rsid w:val="3FAF7F99"/>
    <w:rsid w:val="3FBE325D"/>
    <w:rsid w:val="3FC24EFB"/>
    <w:rsid w:val="3FC42D5D"/>
    <w:rsid w:val="3FC470DF"/>
    <w:rsid w:val="3FDD44BD"/>
    <w:rsid w:val="3FEE70B9"/>
    <w:rsid w:val="4016105A"/>
    <w:rsid w:val="40507088"/>
    <w:rsid w:val="40511B29"/>
    <w:rsid w:val="40525CFA"/>
    <w:rsid w:val="405666DE"/>
    <w:rsid w:val="405A164D"/>
    <w:rsid w:val="405A2653"/>
    <w:rsid w:val="40622EEA"/>
    <w:rsid w:val="407D09B4"/>
    <w:rsid w:val="40892F96"/>
    <w:rsid w:val="408E1F25"/>
    <w:rsid w:val="409D774F"/>
    <w:rsid w:val="40A22DA0"/>
    <w:rsid w:val="40A354E5"/>
    <w:rsid w:val="40B03322"/>
    <w:rsid w:val="40C444B5"/>
    <w:rsid w:val="4109777D"/>
    <w:rsid w:val="411F6223"/>
    <w:rsid w:val="41390C96"/>
    <w:rsid w:val="413B683F"/>
    <w:rsid w:val="41466C95"/>
    <w:rsid w:val="414B6987"/>
    <w:rsid w:val="4158647C"/>
    <w:rsid w:val="41617F37"/>
    <w:rsid w:val="416B0B98"/>
    <w:rsid w:val="4175321B"/>
    <w:rsid w:val="418F78FA"/>
    <w:rsid w:val="4195768D"/>
    <w:rsid w:val="41A605D0"/>
    <w:rsid w:val="41CA3305"/>
    <w:rsid w:val="41CC6A6E"/>
    <w:rsid w:val="41D46746"/>
    <w:rsid w:val="41E50241"/>
    <w:rsid w:val="41ED6B4B"/>
    <w:rsid w:val="42065175"/>
    <w:rsid w:val="42203DE5"/>
    <w:rsid w:val="423339AE"/>
    <w:rsid w:val="42400071"/>
    <w:rsid w:val="42435A6D"/>
    <w:rsid w:val="424B5F8A"/>
    <w:rsid w:val="42623E1B"/>
    <w:rsid w:val="42702AE2"/>
    <w:rsid w:val="427A3AB6"/>
    <w:rsid w:val="427B2568"/>
    <w:rsid w:val="427B6090"/>
    <w:rsid w:val="428A5209"/>
    <w:rsid w:val="42A32E9D"/>
    <w:rsid w:val="42A37451"/>
    <w:rsid w:val="42AA632B"/>
    <w:rsid w:val="42AE7F37"/>
    <w:rsid w:val="42B9327D"/>
    <w:rsid w:val="42BB1B2E"/>
    <w:rsid w:val="42CC28E0"/>
    <w:rsid w:val="43037BB1"/>
    <w:rsid w:val="4308583C"/>
    <w:rsid w:val="43270B9F"/>
    <w:rsid w:val="432B0D77"/>
    <w:rsid w:val="433E40E3"/>
    <w:rsid w:val="434C25F0"/>
    <w:rsid w:val="434D4AE8"/>
    <w:rsid w:val="43512BF1"/>
    <w:rsid w:val="435448CE"/>
    <w:rsid w:val="43572820"/>
    <w:rsid w:val="43633FF9"/>
    <w:rsid w:val="436B0A40"/>
    <w:rsid w:val="43715519"/>
    <w:rsid w:val="437234EE"/>
    <w:rsid w:val="437B5074"/>
    <w:rsid w:val="437E400B"/>
    <w:rsid w:val="43993698"/>
    <w:rsid w:val="43B31196"/>
    <w:rsid w:val="43BB00C0"/>
    <w:rsid w:val="43BB720C"/>
    <w:rsid w:val="43BC335F"/>
    <w:rsid w:val="43C92B32"/>
    <w:rsid w:val="43EB7ACC"/>
    <w:rsid w:val="43FC1AB4"/>
    <w:rsid w:val="44051025"/>
    <w:rsid w:val="44200FCC"/>
    <w:rsid w:val="442A1993"/>
    <w:rsid w:val="442F4C28"/>
    <w:rsid w:val="44402F95"/>
    <w:rsid w:val="445F7EEB"/>
    <w:rsid w:val="447D407D"/>
    <w:rsid w:val="44867251"/>
    <w:rsid w:val="448A0E5D"/>
    <w:rsid w:val="449D45F7"/>
    <w:rsid w:val="44A36CBB"/>
    <w:rsid w:val="44A435AA"/>
    <w:rsid w:val="44A872EC"/>
    <w:rsid w:val="44A91136"/>
    <w:rsid w:val="44C07EB7"/>
    <w:rsid w:val="44C41CD0"/>
    <w:rsid w:val="44E52080"/>
    <w:rsid w:val="44EB55BF"/>
    <w:rsid w:val="4516216D"/>
    <w:rsid w:val="451F0B3D"/>
    <w:rsid w:val="452A57C8"/>
    <w:rsid w:val="452D2698"/>
    <w:rsid w:val="454E3658"/>
    <w:rsid w:val="45614FDD"/>
    <w:rsid w:val="45687674"/>
    <w:rsid w:val="45836B41"/>
    <w:rsid w:val="458A7C47"/>
    <w:rsid w:val="45B30576"/>
    <w:rsid w:val="45B70B4C"/>
    <w:rsid w:val="45BA3A93"/>
    <w:rsid w:val="45D32B9D"/>
    <w:rsid w:val="45D51F09"/>
    <w:rsid w:val="45E335B5"/>
    <w:rsid w:val="45EE2C5F"/>
    <w:rsid w:val="46072FDC"/>
    <w:rsid w:val="460B44C8"/>
    <w:rsid w:val="46136A51"/>
    <w:rsid w:val="46144FA7"/>
    <w:rsid w:val="461F3C01"/>
    <w:rsid w:val="462D4AD7"/>
    <w:rsid w:val="46352F1B"/>
    <w:rsid w:val="463E6D3E"/>
    <w:rsid w:val="464E3D9E"/>
    <w:rsid w:val="46566AA9"/>
    <w:rsid w:val="465A14A9"/>
    <w:rsid w:val="46661558"/>
    <w:rsid w:val="466A3548"/>
    <w:rsid w:val="466C4AED"/>
    <w:rsid w:val="46967F5B"/>
    <w:rsid w:val="46B05B1F"/>
    <w:rsid w:val="46B35E11"/>
    <w:rsid w:val="46BA27BC"/>
    <w:rsid w:val="46BB09CA"/>
    <w:rsid w:val="46BC6770"/>
    <w:rsid w:val="46CF7E90"/>
    <w:rsid w:val="46D13DB8"/>
    <w:rsid w:val="47240834"/>
    <w:rsid w:val="47546CCD"/>
    <w:rsid w:val="475567CD"/>
    <w:rsid w:val="475B3DA3"/>
    <w:rsid w:val="47694A07"/>
    <w:rsid w:val="478039D4"/>
    <w:rsid w:val="479E642E"/>
    <w:rsid w:val="47A20A59"/>
    <w:rsid w:val="47B5458F"/>
    <w:rsid w:val="47C1238D"/>
    <w:rsid w:val="47CB0AA5"/>
    <w:rsid w:val="47E246F7"/>
    <w:rsid w:val="47E76F91"/>
    <w:rsid w:val="47FF0DAF"/>
    <w:rsid w:val="48030380"/>
    <w:rsid w:val="48185A6B"/>
    <w:rsid w:val="48273A4D"/>
    <w:rsid w:val="483971FC"/>
    <w:rsid w:val="483F2C13"/>
    <w:rsid w:val="48490C72"/>
    <w:rsid w:val="484A471E"/>
    <w:rsid w:val="485162E7"/>
    <w:rsid w:val="48560B58"/>
    <w:rsid w:val="48615205"/>
    <w:rsid w:val="486B3599"/>
    <w:rsid w:val="486F3FB1"/>
    <w:rsid w:val="487452ED"/>
    <w:rsid w:val="48936FC5"/>
    <w:rsid w:val="489414DE"/>
    <w:rsid w:val="48A61185"/>
    <w:rsid w:val="48C34DDE"/>
    <w:rsid w:val="48D17B15"/>
    <w:rsid w:val="48EB40AF"/>
    <w:rsid w:val="48F814A8"/>
    <w:rsid w:val="491171A1"/>
    <w:rsid w:val="4925702A"/>
    <w:rsid w:val="4927647B"/>
    <w:rsid w:val="492C5797"/>
    <w:rsid w:val="49390EC0"/>
    <w:rsid w:val="495013A9"/>
    <w:rsid w:val="495F48E7"/>
    <w:rsid w:val="496C7D97"/>
    <w:rsid w:val="49804F41"/>
    <w:rsid w:val="4992729A"/>
    <w:rsid w:val="499C2D6D"/>
    <w:rsid w:val="49A90C47"/>
    <w:rsid w:val="49BF7880"/>
    <w:rsid w:val="49C82B49"/>
    <w:rsid w:val="49D56C49"/>
    <w:rsid w:val="49D855C7"/>
    <w:rsid w:val="49EC4258"/>
    <w:rsid w:val="49F80512"/>
    <w:rsid w:val="4A21436D"/>
    <w:rsid w:val="4A263F01"/>
    <w:rsid w:val="4A4658CB"/>
    <w:rsid w:val="4A4C1CC9"/>
    <w:rsid w:val="4A541B9F"/>
    <w:rsid w:val="4A7F1D52"/>
    <w:rsid w:val="4A854E3F"/>
    <w:rsid w:val="4AAB146E"/>
    <w:rsid w:val="4AC122EE"/>
    <w:rsid w:val="4AED724C"/>
    <w:rsid w:val="4AF850BA"/>
    <w:rsid w:val="4AFB201B"/>
    <w:rsid w:val="4AFB4F34"/>
    <w:rsid w:val="4B130467"/>
    <w:rsid w:val="4B1338CC"/>
    <w:rsid w:val="4B172B12"/>
    <w:rsid w:val="4B262EBA"/>
    <w:rsid w:val="4B3C5587"/>
    <w:rsid w:val="4B3F1EC7"/>
    <w:rsid w:val="4B531F8D"/>
    <w:rsid w:val="4B662E8B"/>
    <w:rsid w:val="4B82772E"/>
    <w:rsid w:val="4B8D450C"/>
    <w:rsid w:val="4B943B21"/>
    <w:rsid w:val="4B9C6193"/>
    <w:rsid w:val="4BA62D1E"/>
    <w:rsid w:val="4BAB096B"/>
    <w:rsid w:val="4BAF7E06"/>
    <w:rsid w:val="4BBB3716"/>
    <w:rsid w:val="4BD46636"/>
    <w:rsid w:val="4BEE45CB"/>
    <w:rsid w:val="4BF40341"/>
    <w:rsid w:val="4C082496"/>
    <w:rsid w:val="4C08678F"/>
    <w:rsid w:val="4C1B5AC4"/>
    <w:rsid w:val="4C3306E1"/>
    <w:rsid w:val="4C396B73"/>
    <w:rsid w:val="4C426781"/>
    <w:rsid w:val="4C4730D6"/>
    <w:rsid w:val="4C4C5496"/>
    <w:rsid w:val="4C6A1CEF"/>
    <w:rsid w:val="4C6C3432"/>
    <w:rsid w:val="4C854697"/>
    <w:rsid w:val="4C8C21FB"/>
    <w:rsid w:val="4C8E0E10"/>
    <w:rsid w:val="4C907331"/>
    <w:rsid w:val="4C9D08B4"/>
    <w:rsid w:val="4CA66198"/>
    <w:rsid w:val="4CAA102F"/>
    <w:rsid w:val="4CB14655"/>
    <w:rsid w:val="4CB33E17"/>
    <w:rsid w:val="4CC80B92"/>
    <w:rsid w:val="4CC92C3A"/>
    <w:rsid w:val="4CE01489"/>
    <w:rsid w:val="4CEB74B6"/>
    <w:rsid w:val="4CF50A59"/>
    <w:rsid w:val="4CF8202F"/>
    <w:rsid w:val="4CFD4AAA"/>
    <w:rsid w:val="4D166CE6"/>
    <w:rsid w:val="4D182801"/>
    <w:rsid w:val="4D1836FB"/>
    <w:rsid w:val="4D533AAF"/>
    <w:rsid w:val="4D79073E"/>
    <w:rsid w:val="4D7B0185"/>
    <w:rsid w:val="4D9E34B9"/>
    <w:rsid w:val="4DAC7F99"/>
    <w:rsid w:val="4DBD3AF7"/>
    <w:rsid w:val="4DBF6851"/>
    <w:rsid w:val="4DC90683"/>
    <w:rsid w:val="4DC94ACF"/>
    <w:rsid w:val="4DDC2F79"/>
    <w:rsid w:val="4DE047C5"/>
    <w:rsid w:val="4DE54991"/>
    <w:rsid w:val="4DF05258"/>
    <w:rsid w:val="4E054669"/>
    <w:rsid w:val="4E252D2A"/>
    <w:rsid w:val="4E3F795C"/>
    <w:rsid w:val="4E40707C"/>
    <w:rsid w:val="4E42373A"/>
    <w:rsid w:val="4E507D99"/>
    <w:rsid w:val="4E751D75"/>
    <w:rsid w:val="4E866E0A"/>
    <w:rsid w:val="4E8D2056"/>
    <w:rsid w:val="4EBB286E"/>
    <w:rsid w:val="4ED21F42"/>
    <w:rsid w:val="4EE07940"/>
    <w:rsid w:val="4EF647A8"/>
    <w:rsid w:val="4F093E78"/>
    <w:rsid w:val="4F112116"/>
    <w:rsid w:val="4F1D2082"/>
    <w:rsid w:val="4F1E444B"/>
    <w:rsid w:val="4F271AC3"/>
    <w:rsid w:val="4F280A7B"/>
    <w:rsid w:val="4F2B223C"/>
    <w:rsid w:val="4F2C416E"/>
    <w:rsid w:val="4F3B0396"/>
    <w:rsid w:val="4F4D0E89"/>
    <w:rsid w:val="4F53558C"/>
    <w:rsid w:val="4F5464CE"/>
    <w:rsid w:val="4F55307E"/>
    <w:rsid w:val="4F6200C1"/>
    <w:rsid w:val="4F6F5219"/>
    <w:rsid w:val="4F8E4B27"/>
    <w:rsid w:val="4F907AA4"/>
    <w:rsid w:val="4FA60918"/>
    <w:rsid w:val="4FB476B5"/>
    <w:rsid w:val="4FBC4BF4"/>
    <w:rsid w:val="4FD65B1E"/>
    <w:rsid w:val="50051405"/>
    <w:rsid w:val="500832F8"/>
    <w:rsid w:val="500F39CF"/>
    <w:rsid w:val="501136F0"/>
    <w:rsid w:val="502256AD"/>
    <w:rsid w:val="50284DD4"/>
    <w:rsid w:val="504215FA"/>
    <w:rsid w:val="50451DB7"/>
    <w:rsid w:val="504B791D"/>
    <w:rsid w:val="508F60CA"/>
    <w:rsid w:val="50981162"/>
    <w:rsid w:val="50BC7B28"/>
    <w:rsid w:val="50C06385"/>
    <w:rsid w:val="50CE6418"/>
    <w:rsid w:val="50D40BCA"/>
    <w:rsid w:val="50D70E9D"/>
    <w:rsid w:val="50F35D93"/>
    <w:rsid w:val="50FA44CD"/>
    <w:rsid w:val="510036F5"/>
    <w:rsid w:val="5105303B"/>
    <w:rsid w:val="51114085"/>
    <w:rsid w:val="511216F1"/>
    <w:rsid w:val="51254295"/>
    <w:rsid w:val="512A1CE3"/>
    <w:rsid w:val="513C1D76"/>
    <w:rsid w:val="514516F1"/>
    <w:rsid w:val="51545650"/>
    <w:rsid w:val="51587AA4"/>
    <w:rsid w:val="516E7D73"/>
    <w:rsid w:val="5180209A"/>
    <w:rsid w:val="51897721"/>
    <w:rsid w:val="519667AD"/>
    <w:rsid w:val="51973EE4"/>
    <w:rsid w:val="51A84D41"/>
    <w:rsid w:val="51AA2482"/>
    <w:rsid w:val="51AC3A8A"/>
    <w:rsid w:val="51B11DC2"/>
    <w:rsid w:val="51B1317F"/>
    <w:rsid w:val="51C23429"/>
    <w:rsid w:val="51DB1E92"/>
    <w:rsid w:val="51E14E39"/>
    <w:rsid w:val="51ED757F"/>
    <w:rsid w:val="52150A7D"/>
    <w:rsid w:val="52414306"/>
    <w:rsid w:val="52457AEB"/>
    <w:rsid w:val="52564EE5"/>
    <w:rsid w:val="52666F95"/>
    <w:rsid w:val="526763FB"/>
    <w:rsid w:val="52741EC2"/>
    <w:rsid w:val="52A535D0"/>
    <w:rsid w:val="52D276CB"/>
    <w:rsid w:val="533113DD"/>
    <w:rsid w:val="53336AAE"/>
    <w:rsid w:val="533A136C"/>
    <w:rsid w:val="53480B19"/>
    <w:rsid w:val="5355264E"/>
    <w:rsid w:val="535F2BBA"/>
    <w:rsid w:val="537C67BA"/>
    <w:rsid w:val="538A3CB4"/>
    <w:rsid w:val="53AD189A"/>
    <w:rsid w:val="53AF337A"/>
    <w:rsid w:val="53B26284"/>
    <w:rsid w:val="53B759F4"/>
    <w:rsid w:val="53B82303"/>
    <w:rsid w:val="53D225A4"/>
    <w:rsid w:val="53DF4479"/>
    <w:rsid w:val="53E0477E"/>
    <w:rsid w:val="54157C9B"/>
    <w:rsid w:val="54186AD3"/>
    <w:rsid w:val="54371F77"/>
    <w:rsid w:val="543B112A"/>
    <w:rsid w:val="544A4D29"/>
    <w:rsid w:val="545419C7"/>
    <w:rsid w:val="54547B86"/>
    <w:rsid w:val="545E0121"/>
    <w:rsid w:val="54646E83"/>
    <w:rsid w:val="546721AA"/>
    <w:rsid w:val="546A3396"/>
    <w:rsid w:val="54701B54"/>
    <w:rsid w:val="54760B52"/>
    <w:rsid w:val="5481317B"/>
    <w:rsid w:val="5494027A"/>
    <w:rsid w:val="54A21918"/>
    <w:rsid w:val="54A62622"/>
    <w:rsid w:val="54AA76FF"/>
    <w:rsid w:val="54B92F65"/>
    <w:rsid w:val="54D164CB"/>
    <w:rsid w:val="54DA00AC"/>
    <w:rsid w:val="54DE5937"/>
    <w:rsid w:val="54E05AE9"/>
    <w:rsid w:val="54E82ECC"/>
    <w:rsid w:val="54FB3C17"/>
    <w:rsid w:val="55007079"/>
    <w:rsid w:val="551855C7"/>
    <w:rsid w:val="55220DA5"/>
    <w:rsid w:val="55272CCA"/>
    <w:rsid w:val="552B579B"/>
    <w:rsid w:val="55342CF9"/>
    <w:rsid w:val="55487F01"/>
    <w:rsid w:val="555C6E60"/>
    <w:rsid w:val="556B7BE3"/>
    <w:rsid w:val="556E398A"/>
    <w:rsid w:val="558114B8"/>
    <w:rsid w:val="55813D78"/>
    <w:rsid w:val="55910F8E"/>
    <w:rsid w:val="55AB500F"/>
    <w:rsid w:val="55B256C0"/>
    <w:rsid w:val="55C23AE2"/>
    <w:rsid w:val="55C73811"/>
    <w:rsid w:val="55DF79E5"/>
    <w:rsid w:val="5611384C"/>
    <w:rsid w:val="561B28DD"/>
    <w:rsid w:val="561D05FE"/>
    <w:rsid w:val="5635520A"/>
    <w:rsid w:val="564846E1"/>
    <w:rsid w:val="565C42B5"/>
    <w:rsid w:val="566056C5"/>
    <w:rsid w:val="56641FF0"/>
    <w:rsid w:val="566C0CDE"/>
    <w:rsid w:val="567F34E2"/>
    <w:rsid w:val="56840D14"/>
    <w:rsid w:val="568868CC"/>
    <w:rsid w:val="56933527"/>
    <w:rsid w:val="56994311"/>
    <w:rsid w:val="569C4AD4"/>
    <w:rsid w:val="56A90562"/>
    <w:rsid w:val="56AD325A"/>
    <w:rsid w:val="56AD47B1"/>
    <w:rsid w:val="56B913AD"/>
    <w:rsid w:val="56DA0859"/>
    <w:rsid w:val="56DC35DD"/>
    <w:rsid w:val="56E17318"/>
    <w:rsid w:val="56FD590E"/>
    <w:rsid w:val="56FE257B"/>
    <w:rsid w:val="57036880"/>
    <w:rsid w:val="57305E26"/>
    <w:rsid w:val="57314C5A"/>
    <w:rsid w:val="574A5794"/>
    <w:rsid w:val="575A261C"/>
    <w:rsid w:val="57A6426A"/>
    <w:rsid w:val="57E01724"/>
    <w:rsid w:val="57F307C1"/>
    <w:rsid w:val="57FA2BAA"/>
    <w:rsid w:val="57FA43F1"/>
    <w:rsid w:val="580162E5"/>
    <w:rsid w:val="58041F34"/>
    <w:rsid w:val="5815497A"/>
    <w:rsid w:val="581C6799"/>
    <w:rsid w:val="58327181"/>
    <w:rsid w:val="58591DCB"/>
    <w:rsid w:val="585B4FDF"/>
    <w:rsid w:val="585D149C"/>
    <w:rsid w:val="586621B6"/>
    <w:rsid w:val="588D63A4"/>
    <w:rsid w:val="589C683B"/>
    <w:rsid w:val="58B9588A"/>
    <w:rsid w:val="58C14572"/>
    <w:rsid w:val="58C73AD7"/>
    <w:rsid w:val="58DA2920"/>
    <w:rsid w:val="58F020A3"/>
    <w:rsid w:val="58FB332B"/>
    <w:rsid w:val="59540A82"/>
    <w:rsid w:val="59594578"/>
    <w:rsid w:val="59631729"/>
    <w:rsid w:val="598A7A09"/>
    <w:rsid w:val="59B33075"/>
    <w:rsid w:val="59B63D96"/>
    <w:rsid w:val="59C01DE0"/>
    <w:rsid w:val="59C13ED2"/>
    <w:rsid w:val="59E6253A"/>
    <w:rsid w:val="59E7033F"/>
    <w:rsid w:val="5A0354F7"/>
    <w:rsid w:val="5A1E5359"/>
    <w:rsid w:val="5A291824"/>
    <w:rsid w:val="5A344ECC"/>
    <w:rsid w:val="5A390B46"/>
    <w:rsid w:val="5A480621"/>
    <w:rsid w:val="5A492723"/>
    <w:rsid w:val="5A5D74BC"/>
    <w:rsid w:val="5A7C5C8F"/>
    <w:rsid w:val="5A90403D"/>
    <w:rsid w:val="5A9D71ED"/>
    <w:rsid w:val="5AA2571A"/>
    <w:rsid w:val="5AB04EDE"/>
    <w:rsid w:val="5AC64C86"/>
    <w:rsid w:val="5ACF4A76"/>
    <w:rsid w:val="5AD51064"/>
    <w:rsid w:val="5ADE295C"/>
    <w:rsid w:val="5AF8170C"/>
    <w:rsid w:val="5B05555C"/>
    <w:rsid w:val="5B1649CC"/>
    <w:rsid w:val="5B1F493D"/>
    <w:rsid w:val="5B244DD8"/>
    <w:rsid w:val="5B2717CA"/>
    <w:rsid w:val="5B295890"/>
    <w:rsid w:val="5B2E4556"/>
    <w:rsid w:val="5B3879B9"/>
    <w:rsid w:val="5B436EF0"/>
    <w:rsid w:val="5B4D2B80"/>
    <w:rsid w:val="5B550806"/>
    <w:rsid w:val="5B893F6C"/>
    <w:rsid w:val="5B9F1B41"/>
    <w:rsid w:val="5BA37F28"/>
    <w:rsid w:val="5BAE24A8"/>
    <w:rsid w:val="5BB117B1"/>
    <w:rsid w:val="5BC51BF0"/>
    <w:rsid w:val="5BCF26D8"/>
    <w:rsid w:val="5C0B7CEE"/>
    <w:rsid w:val="5C44015E"/>
    <w:rsid w:val="5C4D41F0"/>
    <w:rsid w:val="5C554BC5"/>
    <w:rsid w:val="5C7D3D43"/>
    <w:rsid w:val="5C882C4F"/>
    <w:rsid w:val="5C8962BA"/>
    <w:rsid w:val="5C8C61AA"/>
    <w:rsid w:val="5CA70B0A"/>
    <w:rsid w:val="5CBD523A"/>
    <w:rsid w:val="5CCD31A9"/>
    <w:rsid w:val="5CD2475E"/>
    <w:rsid w:val="5CF86CAE"/>
    <w:rsid w:val="5D0B3776"/>
    <w:rsid w:val="5D350148"/>
    <w:rsid w:val="5D443020"/>
    <w:rsid w:val="5D47572E"/>
    <w:rsid w:val="5D485FD5"/>
    <w:rsid w:val="5D487E79"/>
    <w:rsid w:val="5D516A2D"/>
    <w:rsid w:val="5D65410C"/>
    <w:rsid w:val="5D6C5E39"/>
    <w:rsid w:val="5D71281A"/>
    <w:rsid w:val="5D776B60"/>
    <w:rsid w:val="5D781E52"/>
    <w:rsid w:val="5D7D662C"/>
    <w:rsid w:val="5D954FBB"/>
    <w:rsid w:val="5DE847B7"/>
    <w:rsid w:val="5E0779FA"/>
    <w:rsid w:val="5E1D5BB1"/>
    <w:rsid w:val="5E1D5F77"/>
    <w:rsid w:val="5E234035"/>
    <w:rsid w:val="5E2911D4"/>
    <w:rsid w:val="5E4F7B9F"/>
    <w:rsid w:val="5E5D1A5A"/>
    <w:rsid w:val="5E626E20"/>
    <w:rsid w:val="5E751A3D"/>
    <w:rsid w:val="5E7762CF"/>
    <w:rsid w:val="5E8460C1"/>
    <w:rsid w:val="5E8E034B"/>
    <w:rsid w:val="5EA30896"/>
    <w:rsid w:val="5EBF574D"/>
    <w:rsid w:val="5EC9135A"/>
    <w:rsid w:val="5ED14E5B"/>
    <w:rsid w:val="5EF04B7B"/>
    <w:rsid w:val="5EFF3DE0"/>
    <w:rsid w:val="5F007B24"/>
    <w:rsid w:val="5F106EAF"/>
    <w:rsid w:val="5F283CA5"/>
    <w:rsid w:val="5F2A5E36"/>
    <w:rsid w:val="5F305F32"/>
    <w:rsid w:val="5F342BF5"/>
    <w:rsid w:val="5F425A26"/>
    <w:rsid w:val="5F4E3CB5"/>
    <w:rsid w:val="5F7D1E64"/>
    <w:rsid w:val="5F9374D0"/>
    <w:rsid w:val="5FDA48B5"/>
    <w:rsid w:val="5FDE7EAE"/>
    <w:rsid w:val="5FE25384"/>
    <w:rsid w:val="5FE875BC"/>
    <w:rsid w:val="60671E65"/>
    <w:rsid w:val="607562A7"/>
    <w:rsid w:val="608664A5"/>
    <w:rsid w:val="608C7B28"/>
    <w:rsid w:val="608F41F2"/>
    <w:rsid w:val="609E6925"/>
    <w:rsid w:val="60AE04B9"/>
    <w:rsid w:val="60BA77CD"/>
    <w:rsid w:val="60C63F24"/>
    <w:rsid w:val="60CA2B58"/>
    <w:rsid w:val="60F80C2F"/>
    <w:rsid w:val="61117296"/>
    <w:rsid w:val="613468C2"/>
    <w:rsid w:val="613A48D5"/>
    <w:rsid w:val="61487E7F"/>
    <w:rsid w:val="614C4BCD"/>
    <w:rsid w:val="614F6149"/>
    <w:rsid w:val="61572E4F"/>
    <w:rsid w:val="616128EC"/>
    <w:rsid w:val="616720C6"/>
    <w:rsid w:val="61725619"/>
    <w:rsid w:val="617E294F"/>
    <w:rsid w:val="618649E8"/>
    <w:rsid w:val="619104F5"/>
    <w:rsid w:val="61AB7C65"/>
    <w:rsid w:val="61C3512C"/>
    <w:rsid w:val="61DB7979"/>
    <w:rsid w:val="62073433"/>
    <w:rsid w:val="620B3059"/>
    <w:rsid w:val="620D753C"/>
    <w:rsid w:val="62181D46"/>
    <w:rsid w:val="62183AD0"/>
    <w:rsid w:val="62666768"/>
    <w:rsid w:val="626B7791"/>
    <w:rsid w:val="62721747"/>
    <w:rsid w:val="628762A4"/>
    <w:rsid w:val="628C2933"/>
    <w:rsid w:val="628C4312"/>
    <w:rsid w:val="62AB1D8D"/>
    <w:rsid w:val="62B4098B"/>
    <w:rsid w:val="62C42917"/>
    <w:rsid w:val="62D9309F"/>
    <w:rsid w:val="62DE5A92"/>
    <w:rsid w:val="62E73481"/>
    <w:rsid w:val="62ED42C9"/>
    <w:rsid w:val="62F0419C"/>
    <w:rsid w:val="62F17770"/>
    <w:rsid w:val="62FA55D0"/>
    <w:rsid w:val="63150259"/>
    <w:rsid w:val="631A7E52"/>
    <w:rsid w:val="63234C0F"/>
    <w:rsid w:val="634B4DB7"/>
    <w:rsid w:val="634C01CF"/>
    <w:rsid w:val="63512CC8"/>
    <w:rsid w:val="635665B8"/>
    <w:rsid w:val="63617C21"/>
    <w:rsid w:val="637A72AA"/>
    <w:rsid w:val="638E070F"/>
    <w:rsid w:val="63A83A82"/>
    <w:rsid w:val="63CB3622"/>
    <w:rsid w:val="63D600F2"/>
    <w:rsid w:val="63E31E9D"/>
    <w:rsid w:val="640434E5"/>
    <w:rsid w:val="64185C22"/>
    <w:rsid w:val="64214CA4"/>
    <w:rsid w:val="643B275E"/>
    <w:rsid w:val="64411A38"/>
    <w:rsid w:val="64587275"/>
    <w:rsid w:val="646A5BED"/>
    <w:rsid w:val="64C4485F"/>
    <w:rsid w:val="64DA076B"/>
    <w:rsid w:val="64DC7DE5"/>
    <w:rsid w:val="64E36924"/>
    <w:rsid w:val="64E9112D"/>
    <w:rsid w:val="65014155"/>
    <w:rsid w:val="65142B38"/>
    <w:rsid w:val="6520621E"/>
    <w:rsid w:val="653D68E6"/>
    <w:rsid w:val="65630AA9"/>
    <w:rsid w:val="656A3683"/>
    <w:rsid w:val="656A7144"/>
    <w:rsid w:val="657B048C"/>
    <w:rsid w:val="657F70B1"/>
    <w:rsid w:val="65865107"/>
    <w:rsid w:val="659242EE"/>
    <w:rsid w:val="65A43583"/>
    <w:rsid w:val="65AD7951"/>
    <w:rsid w:val="65B0069A"/>
    <w:rsid w:val="65B61ED7"/>
    <w:rsid w:val="65D93ABA"/>
    <w:rsid w:val="65E9533F"/>
    <w:rsid w:val="65F76683"/>
    <w:rsid w:val="65F93869"/>
    <w:rsid w:val="660B2971"/>
    <w:rsid w:val="660B5D8E"/>
    <w:rsid w:val="66224F9D"/>
    <w:rsid w:val="6632531C"/>
    <w:rsid w:val="6650370B"/>
    <w:rsid w:val="667237CD"/>
    <w:rsid w:val="667A25D4"/>
    <w:rsid w:val="66824095"/>
    <w:rsid w:val="66953E2E"/>
    <w:rsid w:val="669F7CBA"/>
    <w:rsid w:val="66AE39AD"/>
    <w:rsid w:val="66B00768"/>
    <w:rsid w:val="66FB73E6"/>
    <w:rsid w:val="670A4B9E"/>
    <w:rsid w:val="67171C12"/>
    <w:rsid w:val="671C012D"/>
    <w:rsid w:val="672E507D"/>
    <w:rsid w:val="673936D7"/>
    <w:rsid w:val="673E700C"/>
    <w:rsid w:val="67517AFA"/>
    <w:rsid w:val="67561C24"/>
    <w:rsid w:val="67805AAD"/>
    <w:rsid w:val="67AB1B26"/>
    <w:rsid w:val="67B265D1"/>
    <w:rsid w:val="67B30E44"/>
    <w:rsid w:val="67BA58BE"/>
    <w:rsid w:val="67C23B71"/>
    <w:rsid w:val="67C501C3"/>
    <w:rsid w:val="67CC6DC1"/>
    <w:rsid w:val="67E55296"/>
    <w:rsid w:val="67E87F7F"/>
    <w:rsid w:val="68080A2F"/>
    <w:rsid w:val="680975B1"/>
    <w:rsid w:val="681D4514"/>
    <w:rsid w:val="681E7CFD"/>
    <w:rsid w:val="68221B5F"/>
    <w:rsid w:val="682633F9"/>
    <w:rsid w:val="68270406"/>
    <w:rsid w:val="68273145"/>
    <w:rsid w:val="682A5BF7"/>
    <w:rsid w:val="68535738"/>
    <w:rsid w:val="68721156"/>
    <w:rsid w:val="687C423F"/>
    <w:rsid w:val="68C25D28"/>
    <w:rsid w:val="68D033F3"/>
    <w:rsid w:val="68DC689F"/>
    <w:rsid w:val="68DD66BB"/>
    <w:rsid w:val="68E0170A"/>
    <w:rsid w:val="68F302CC"/>
    <w:rsid w:val="69123CE1"/>
    <w:rsid w:val="69141C2E"/>
    <w:rsid w:val="69184264"/>
    <w:rsid w:val="693350FB"/>
    <w:rsid w:val="695479FA"/>
    <w:rsid w:val="696F1E02"/>
    <w:rsid w:val="69705CB0"/>
    <w:rsid w:val="69762AAC"/>
    <w:rsid w:val="697826BD"/>
    <w:rsid w:val="69874F79"/>
    <w:rsid w:val="69997553"/>
    <w:rsid w:val="69AA23F5"/>
    <w:rsid w:val="69B25F89"/>
    <w:rsid w:val="69BF7EC3"/>
    <w:rsid w:val="69D330B4"/>
    <w:rsid w:val="69EC44A4"/>
    <w:rsid w:val="69F432B5"/>
    <w:rsid w:val="6A1B5C00"/>
    <w:rsid w:val="6A2835EC"/>
    <w:rsid w:val="6A291175"/>
    <w:rsid w:val="6A2C34AA"/>
    <w:rsid w:val="6A6459AF"/>
    <w:rsid w:val="6A820F91"/>
    <w:rsid w:val="6A824374"/>
    <w:rsid w:val="6A87407F"/>
    <w:rsid w:val="6A99127D"/>
    <w:rsid w:val="6A9E3FA6"/>
    <w:rsid w:val="6AB8004E"/>
    <w:rsid w:val="6AB861B4"/>
    <w:rsid w:val="6ACA035C"/>
    <w:rsid w:val="6AD96CB7"/>
    <w:rsid w:val="6B0F3C1E"/>
    <w:rsid w:val="6B0F701E"/>
    <w:rsid w:val="6B13077A"/>
    <w:rsid w:val="6B1424DD"/>
    <w:rsid w:val="6B221E5F"/>
    <w:rsid w:val="6B272595"/>
    <w:rsid w:val="6B2B1CE6"/>
    <w:rsid w:val="6B2F5E6F"/>
    <w:rsid w:val="6B4629BA"/>
    <w:rsid w:val="6B4C3CF7"/>
    <w:rsid w:val="6B6B5CD2"/>
    <w:rsid w:val="6B711394"/>
    <w:rsid w:val="6B7C0E69"/>
    <w:rsid w:val="6B882178"/>
    <w:rsid w:val="6BA078E7"/>
    <w:rsid w:val="6BB36B04"/>
    <w:rsid w:val="6BC576AE"/>
    <w:rsid w:val="6BC82F86"/>
    <w:rsid w:val="6BC83021"/>
    <w:rsid w:val="6BCC1277"/>
    <w:rsid w:val="6BE22D68"/>
    <w:rsid w:val="6BE4278E"/>
    <w:rsid w:val="6BEA1F9C"/>
    <w:rsid w:val="6BFC4F57"/>
    <w:rsid w:val="6C1F76C2"/>
    <w:rsid w:val="6C4E1244"/>
    <w:rsid w:val="6C5B6EEC"/>
    <w:rsid w:val="6C5D2D2B"/>
    <w:rsid w:val="6C6E3EA2"/>
    <w:rsid w:val="6C7765FE"/>
    <w:rsid w:val="6C8008DC"/>
    <w:rsid w:val="6CAA5E4D"/>
    <w:rsid w:val="6CC60DC9"/>
    <w:rsid w:val="6CD44DB3"/>
    <w:rsid w:val="6CDC7845"/>
    <w:rsid w:val="6D000FC4"/>
    <w:rsid w:val="6D031778"/>
    <w:rsid w:val="6D08005D"/>
    <w:rsid w:val="6D0A7C83"/>
    <w:rsid w:val="6D106FB7"/>
    <w:rsid w:val="6D1C3F9C"/>
    <w:rsid w:val="6D2B7848"/>
    <w:rsid w:val="6D3C6797"/>
    <w:rsid w:val="6D4A67A4"/>
    <w:rsid w:val="6D517127"/>
    <w:rsid w:val="6D5D5CC1"/>
    <w:rsid w:val="6D6B744D"/>
    <w:rsid w:val="6DA07DE7"/>
    <w:rsid w:val="6DA265FA"/>
    <w:rsid w:val="6DA721E6"/>
    <w:rsid w:val="6DBE5CD2"/>
    <w:rsid w:val="6DE374BA"/>
    <w:rsid w:val="6DEC6B1D"/>
    <w:rsid w:val="6E1A3D81"/>
    <w:rsid w:val="6E20601C"/>
    <w:rsid w:val="6E2A5041"/>
    <w:rsid w:val="6E2C4FDA"/>
    <w:rsid w:val="6E3A38A7"/>
    <w:rsid w:val="6E41574E"/>
    <w:rsid w:val="6E423939"/>
    <w:rsid w:val="6E4660D0"/>
    <w:rsid w:val="6E4A043D"/>
    <w:rsid w:val="6E6F129A"/>
    <w:rsid w:val="6E8C7E9A"/>
    <w:rsid w:val="6EA7226C"/>
    <w:rsid w:val="6EB13143"/>
    <w:rsid w:val="6EB96098"/>
    <w:rsid w:val="6EBF0F07"/>
    <w:rsid w:val="6EC3545C"/>
    <w:rsid w:val="6ECA78B1"/>
    <w:rsid w:val="6EFD5C0F"/>
    <w:rsid w:val="6F0211AE"/>
    <w:rsid w:val="6F081FAF"/>
    <w:rsid w:val="6F252E0D"/>
    <w:rsid w:val="6F257D94"/>
    <w:rsid w:val="6F4379DD"/>
    <w:rsid w:val="6F6A055F"/>
    <w:rsid w:val="6F6A09C1"/>
    <w:rsid w:val="6F733EF8"/>
    <w:rsid w:val="6F7478CD"/>
    <w:rsid w:val="6F8310B0"/>
    <w:rsid w:val="6F954A32"/>
    <w:rsid w:val="6F9603E0"/>
    <w:rsid w:val="6FA66C5B"/>
    <w:rsid w:val="6FAF4A0F"/>
    <w:rsid w:val="6FB917DB"/>
    <w:rsid w:val="6FC80B1A"/>
    <w:rsid w:val="6FD412E1"/>
    <w:rsid w:val="6FEA1D9F"/>
    <w:rsid w:val="6FEE7DF4"/>
    <w:rsid w:val="6FF43A17"/>
    <w:rsid w:val="6FF473BA"/>
    <w:rsid w:val="6FFC588A"/>
    <w:rsid w:val="70233526"/>
    <w:rsid w:val="70271038"/>
    <w:rsid w:val="702D60C6"/>
    <w:rsid w:val="70306C17"/>
    <w:rsid w:val="70655525"/>
    <w:rsid w:val="70754C0A"/>
    <w:rsid w:val="70810F20"/>
    <w:rsid w:val="70984F7D"/>
    <w:rsid w:val="709970EF"/>
    <w:rsid w:val="709C1A8C"/>
    <w:rsid w:val="70B27B70"/>
    <w:rsid w:val="70CE09C3"/>
    <w:rsid w:val="70E41A32"/>
    <w:rsid w:val="71147566"/>
    <w:rsid w:val="71287630"/>
    <w:rsid w:val="712C1AEB"/>
    <w:rsid w:val="713148BC"/>
    <w:rsid w:val="71371CF9"/>
    <w:rsid w:val="713E5AE7"/>
    <w:rsid w:val="716F1C44"/>
    <w:rsid w:val="71722787"/>
    <w:rsid w:val="717263BA"/>
    <w:rsid w:val="717E7A69"/>
    <w:rsid w:val="71806D32"/>
    <w:rsid w:val="71A122E3"/>
    <w:rsid w:val="71AD6FAE"/>
    <w:rsid w:val="71AE30B5"/>
    <w:rsid w:val="71C27EC8"/>
    <w:rsid w:val="71C33DD0"/>
    <w:rsid w:val="72005AE6"/>
    <w:rsid w:val="7210336D"/>
    <w:rsid w:val="72104AC2"/>
    <w:rsid w:val="72124041"/>
    <w:rsid w:val="72135B21"/>
    <w:rsid w:val="721601E1"/>
    <w:rsid w:val="72337620"/>
    <w:rsid w:val="723F5BDB"/>
    <w:rsid w:val="72570EA7"/>
    <w:rsid w:val="7257473F"/>
    <w:rsid w:val="72726B56"/>
    <w:rsid w:val="727355E2"/>
    <w:rsid w:val="72A11E23"/>
    <w:rsid w:val="72A322A5"/>
    <w:rsid w:val="72AF0917"/>
    <w:rsid w:val="72B3210B"/>
    <w:rsid w:val="72CF7ADB"/>
    <w:rsid w:val="72E75951"/>
    <w:rsid w:val="72E91B02"/>
    <w:rsid w:val="72F9284C"/>
    <w:rsid w:val="72FF3233"/>
    <w:rsid w:val="732650C3"/>
    <w:rsid w:val="733C616F"/>
    <w:rsid w:val="7340334A"/>
    <w:rsid w:val="734A7EB9"/>
    <w:rsid w:val="7352170E"/>
    <w:rsid w:val="73586DC3"/>
    <w:rsid w:val="735B05AA"/>
    <w:rsid w:val="736811C4"/>
    <w:rsid w:val="73725CC7"/>
    <w:rsid w:val="739B35DE"/>
    <w:rsid w:val="73A34F09"/>
    <w:rsid w:val="73DA0AAB"/>
    <w:rsid w:val="73FA2A89"/>
    <w:rsid w:val="73FF32CB"/>
    <w:rsid w:val="7405758D"/>
    <w:rsid w:val="74150ED2"/>
    <w:rsid w:val="74301EA6"/>
    <w:rsid w:val="74331D80"/>
    <w:rsid w:val="74386E56"/>
    <w:rsid w:val="7439010A"/>
    <w:rsid w:val="744D3038"/>
    <w:rsid w:val="74622F2F"/>
    <w:rsid w:val="7497088D"/>
    <w:rsid w:val="74A30572"/>
    <w:rsid w:val="74C73FE3"/>
    <w:rsid w:val="74DC5A55"/>
    <w:rsid w:val="74E71A82"/>
    <w:rsid w:val="74F64E3F"/>
    <w:rsid w:val="74FD1B30"/>
    <w:rsid w:val="751D0E17"/>
    <w:rsid w:val="754A05DC"/>
    <w:rsid w:val="75942A40"/>
    <w:rsid w:val="75A023F2"/>
    <w:rsid w:val="75C5780F"/>
    <w:rsid w:val="75FB2A56"/>
    <w:rsid w:val="75FF18EA"/>
    <w:rsid w:val="76023351"/>
    <w:rsid w:val="761730DD"/>
    <w:rsid w:val="762117B5"/>
    <w:rsid w:val="762514F1"/>
    <w:rsid w:val="762C5C47"/>
    <w:rsid w:val="765512FB"/>
    <w:rsid w:val="765E31FB"/>
    <w:rsid w:val="766477E6"/>
    <w:rsid w:val="76687032"/>
    <w:rsid w:val="7672045B"/>
    <w:rsid w:val="76766B2A"/>
    <w:rsid w:val="767F2D37"/>
    <w:rsid w:val="76895AED"/>
    <w:rsid w:val="7698131F"/>
    <w:rsid w:val="76984EB1"/>
    <w:rsid w:val="76991A17"/>
    <w:rsid w:val="76A03F11"/>
    <w:rsid w:val="76A21FE1"/>
    <w:rsid w:val="76BA50E5"/>
    <w:rsid w:val="76C42FE0"/>
    <w:rsid w:val="76D42781"/>
    <w:rsid w:val="76D81D5A"/>
    <w:rsid w:val="76FF56D3"/>
    <w:rsid w:val="770255FF"/>
    <w:rsid w:val="77067FBD"/>
    <w:rsid w:val="771672D4"/>
    <w:rsid w:val="771A06F0"/>
    <w:rsid w:val="77236D53"/>
    <w:rsid w:val="772A5AB9"/>
    <w:rsid w:val="774D3DC3"/>
    <w:rsid w:val="776A22E2"/>
    <w:rsid w:val="776D6580"/>
    <w:rsid w:val="778C04E9"/>
    <w:rsid w:val="778F2765"/>
    <w:rsid w:val="77B360B7"/>
    <w:rsid w:val="77E22291"/>
    <w:rsid w:val="78125407"/>
    <w:rsid w:val="78163E0D"/>
    <w:rsid w:val="78300AEE"/>
    <w:rsid w:val="784513E1"/>
    <w:rsid w:val="784F14F7"/>
    <w:rsid w:val="78507637"/>
    <w:rsid w:val="7859168E"/>
    <w:rsid w:val="785D5BA6"/>
    <w:rsid w:val="7867796C"/>
    <w:rsid w:val="787E0B50"/>
    <w:rsid w:val="787F40EE"/>
    <w:rsid w:val="78985EAB"/>
    <w:rsid w:val="789E5F80"/>
    <w:rsid w:val="78B32B1C"/>
    <w:rsid w:val="78B4709E"/>
    <w:rsid w:val="78B57BD3"/>
    <w:rsid w:val="78C14DB7"/>
    <w:rsid w:val="78C243BF"/>
    <w:rsid w:val="78D81144"/>
    <w:rsid w:val="78E57CE3"/>
    <w:rsid w:val="78F669DD"/>
    <w:rsid w:val="79047D24"/>
    <w:rsid w:val="792073FF"/>
    <w:rsid w:val="792535B8"/>
    <w:rsid w:val="79255B1E"/>
    <w:rsid w:val="79327BE3"/>
    <w:rsid w:val="793423B9"/>
    <w:rsid w:val="794674FF"/>
    <w:rsid w:val="794F5E9D"/>
    <w:rsid w:val="7950305C"/>
    <w:rsid w:val="79537342"/>
    <w:rsid w:val="79596ED9"/>
    <w:rsid w:val="796606AB"/>
    <w:rsid w:val="797279F9"/>
    <w:rsid w:val="798B6440"/>
    <w:rsid w:val="79976759"/>
    <w:rsid w:val="799C0BFC"/>
    <w:rsid w:val="79B50C6F"/>
    <w:rsid w:val="79D319E8"/>
    <w:rsid w:val="79D815F5"/>
    <w:rsid w:val="79E06AB0"/>
    <w:rsid w:val="7A0527D6"/>
    <w:rsid w:val="7A073B40"/>
    <w:rsid w:val="7A1E66A7"/>
    <w:rsid w:val="7A3D5145"/>
    <w:rsid w:val="7A3E3C86"/>
    <w:rsid w:val="7A421F6B"/>
    <w:rsid w:val="7A9C129D"/>
    <w:rsid w:val="7AAC617C"/>
    <w:rsid w:val="7ABB0835"/>
    <w:rsid w:val="7ABE7A74"/>
    <w:rsid w:val="7AC3193E"/>
    <w:rsid w:val="7AD825ED"/>
    <w:rsid w:val="7AE7522B"/>
    <w:rsid w:val="7AF11E4A"/>
    <w:rsid w:val="7AFC756B"/>
    <w:rsid w:val="7B0A616D"/>
    <w:rsid w:val="7B1530FA"/>
    <w:rsid w:val="7B160627"/>
    <w:rsid w:val="7B6A65F9"/>
    <w:rsid w:val="7B73525D"/>
    <w:rsid w:val="7B754167"/>
    <w:rsid w:val="7B841502"/>
    <w:rsid w:val="7B856B69"/>
    <w:rsid w:val="7BA51FAA"/>
    <w:rsid w:val="7BA71431"/>
    <w:rsid w:val="7BAB65F0"/>
    <w:rsid w:val="7BB204A8"/>
    <w:rsid w:val="7BC5601A"/>
    <w:rsid w:val="7BE067C0"/>
    <w:rsid w:val="7BE820A2"/>
    <w:rsid w:val="7BF7355E"/>
    <w:rsid w:val="7BFA652B"/>
    <w:rsid w:val="7C041716"/>
    <w:rsid w:val="7C0A0C19"/>
    <w:rsid w:val="7C0F6F8D"/>
    <w:rsid w:val="7C1832E2"/>
    <w:rsid w:val="7C2C3168"/>
    <w:rsid w:val="7C2D7C77"/>
    <w:rsid w:val="7C60764A"/>
    <w:rsid w:val="7C7F077B"/>
    <w:rsid w:val="7C9A2C55"/>
    <w:rsid w:val="7CB570A3"/>
    <w:rsid w:val="7CC05CED"/>
    <w:rsid w:val="7CC85D2E"/>
    <w:rsid w:val="7CF01F5A"/>
    <w:rsid w:val="7CFA0A3C"/>
    <w:rsid w:val="7CFB25C5"/>
    <w:rsid w:val="7D024938"/>
    <w:rsid w:val="7D0432EA"/>
    <w:rsid w:val="7D071A67"/>
    <w:rsid w:val="7D153027"/>
    <w:rsid w:val="7D240558"/>
    <w:rsid w:val="7D331868"/>
    <w:rsid w:val="7D4E4391"/>
    <w:rsid w:val="7D6A50D1"/>
    <w:rsid w:val="7D6C1F0C"/>
    <w:rsid w:val="7D6F7C2B"/>
    <w:rsid w:val="7D7B5BD6"/>
    <w:rsid w:val="7D812A55"/>
    <w:rsid w:val="7D9828AA"/>
    <w:rsid w:val="7DA15DD8"/>
    <w:rsid w:val="7DA54E7B"/>
    <w:rsid w:val="7DAD4B1E"/>
    <w:rsid w:val="7DB6188B"/>
    <w:rsid w:val="7DCE4670"/>
    <w:rsid w:val="7DDB6F5C"/>
    <w:rsid w:val="7DDF08B2"/>
    <w:rsid w:val="7DDF11A4"/>
    <w:rsid w:val="7DDF7781"/>
    <w:rsid w:val="7E14791A"/>
    <w:rsid w:val="7E2F58AE"/>
    <w:rsid w:val="7E464EB2"/>
    <w:rsid w:val="7E4A1793"/>
    <w:rsid w:val="7E5724CE"/>
    <w:rsid w:val="7E5B4BE3"/>
    <w:rsid w:val="7E6C78AD"/>
    <w:rsid w:val="7E6C79E8"/>
    <w:rsid w:val="7E6E14DC"/>
    <w:rsid w:val="7EB7352A"/>
    <w:rsid w:val="7EB90785"/>
    <w:rsid w:val="7EE8282F"/>
    <w:rsid w:val="7EE97E69"/>
    <w:rsid w:val="7EEF15E6"/>
    <w:rsid w:val="7F0F3C4C"/>
    <w:rsid w:val="7F102E25"/>
    <w:rsid w:val="7F2B3490"/>
    <w:rsid w:val="7F81479C"/>
    <w:rsid w:val="7F961536"/>
    <w:rsid w:val="7FB772DD"/>
    <w:rsid w:val="7FD5728C"/>
    <w:rsid w:val="7FDD6AC8"/>
    <w:rsid w:val="7FE66A22"/>
    <w:rsid w:val="7FED0787"/>
    <w:rsid w:val="7FF352B9"/>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9" w:semiHidden="0" w:name="heading 5"/>
    <w:lsdException w:qFormat="1" w:uiPriority="0" w:name="heading 6"/>
    <w:lsdException w:qFormat="1" w:uiPriority="0" w:name="heading 7"/>
    <w:lsdException w:qFormat="1" w:uiPriority="0" w:name="heading 8"/>
    <w:lsdException w:qFormat="1" w:uiPriority="0" w:name="heading 9"/>
    <w:lsdException w:qFormat="1" w:unhideWhenUsed="0" w:uiPriority="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39"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qFormat="1" w:uiPriority="0" w:semiHidden="0" w:name="footnote text"/>
    <w:lsdException w:qFormat="1" w:unhideWhenUsed="0" w:uiPriority="0" w:semiHidden="0" w:name="annotation text"/>
    <w:lsdException w:qFormat="1" w:unhideWhenUsed="0" w:uiPriority="0" w:semiHidden="0" w:name="header"/>
    <w:lsdException w:qFormat="1" w:unhideWhenUsed="0"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qFormat="1" w:uiPriority="99" w:semiHidden="0" w:name="envelope return"/>
    <w:lsdException w:qFormat="1" w:unhideWhenUsed="0" w:uiPriority="0" w:semiHidden="0" w:name="footnote reference"/>
    <w:lsdException w:qFormat="1" w:unhideWhenUsed="0" w:uiPriority="0" w:semiHidden="0" w:name="annotation reference"/>
    <w:lsdException w:unhideWhenUsed="0" w:uiPriority="0" w:semiHidden="0" w:name="line number"/>
    <w:lsdException w:qFormat="1"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iPriority="99" w:semiHidden="0" w:name="Body Text First Indent 2"/>
    <w:lsdException w:unhideWhenUsed="0" w:uiPriority="0" w:semiHidden="0" w:name="Note Heading"/>
    <w:lsdException w:unhideWhenUsed="0" w:uiPriority="0" w:semiHidden="0" w:name="Body Text 2"/>
    <w:lsdException w:qFormat="1"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uiPriority="0" w:name="Table Grid 5"/>
    <w:lsdException w:uiPriority="0" w:name="Table Grid 6"/>
    <w:lsdException w:uiPriority="0" w:name="Table Grid 7"/>
    <w:lsdException w:uiPriority="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uiPriority="0" w:name="Table Elegant"/>
    <w:lsdException w:uiPriority="0" w:name="Table Professional"/>
    <w:lsdException w:uiPriority="0" w:name="Table Subtle 1"/>
    <w:lsdException w:uiPriority="0" w:name="Table Subtle 2"/>
    <w:lsdException w:uiPriority="0" w:name="Table Web 1"/>
    <w:lsdException w:uiPriority="0" w:name="Table Web 2"/>
    <w:lsdException w:uiPriority="0" w:name="Table Web 3"/>
    <w:lsdException w:unhideWhenUsed="0" w:uiPriority="0" w:semiHidden="0" w:name="Balloon Text"/>
    <w:lsdException w:qFormat="1" w:unhideWhenUsed="0" w:uiPriority="59" w:semiHidden="0" w:name="Table Grid"/>
    <w:lsdException w:uiPriority="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0"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paragraph" w:styleId="3">
    <w:name w:val="heading 1"/>
    <w:basedOn w:val="1"/>
    <w:next w:val="1"/>
    <w:qFormat/>
    <w:uiPriority w:val="0"/>
    <w:pPr>
      <w:keepNext/>
      <w:keepLines/>
      <w:numPr>
        <w:ilvl w:val="0"/>
        <w:numId w:val="1"/>
      </w:numPr>
      <w:spacing w:beforeLines="100" w:afterLines="100" w:line="360" w:lineRule="auto"/>
      <w:ind w:firstLine="0"/>
      <w:jc w:val="center"/>
      <w:outlineLvl w:val="0"/>
    </w:pPr>
    <w:rPr>
      <w:rFonts w:eastAsia="微软雅黑"/>
      <w:b/>
      <w:bCs/>
      <w:kern w:val="44"/>
      <w:sz w:val="36"/>
      <w:szCs w:val="44"/>
    </w:rPr>
  </w:style>
  <w:style w:type="paragraph" w:styleId="4">
    <w:name w:val="heading 2"/>
    <w:basedOn w:val="1"/>
    <w:next w:val="1"/>
    <w:link w:val="27"/>
    <w:qFormat/>
    <w:uiPriority w:val="0"/>
    <w:pPr>
      <w:keepNext/>
      <w:keepLines/>
      <w:numPr>
        <w:ilvl w:val="0"/>
        <w:numId w:val="2"/>
      </w:numPr>
      <w:spacing w:line="360" w:lineRule="auto"/>
      <w:outlineLvl w:val="1"/>
    </w:pPr>
    <w:rPr>
      <w:rFonts w:ascii="Arial" w:hAnsi="Arial"/>
      <w:b/>
      <w:bCs/>
      <w:sz w:val="28"/>
      <w:szCs w:val="32"/>
    </w:rPr>
  </w:style>
  <w:style w:type="paragraph" w:styleId="5">
    <w:name w:val="heading 3"/>
    <w:basedOn w:val="1"/>
    <w:next w:val="1"/>
    <w:qFormat/>
    <w:uiPriority w:val="0"/>
    <w:pPr>
      <w:keepNext/>
      <w:keepLines/>
      <w:outlineLvl w:val="2"/>
    </w:pPr>
    <w:rPr>
      <w:rFonts w:ascii="宋体" w:hAnsi="宋体" w:eastAsia="黑体"/>
      <w:bCs/>
      <w:sz w:val="24"/>
      <w:szCs w:val="28"/>
    </w:rPr>
  </w:style>
  <w:style w:type="paragraph" w:styleId="6">
    <w:name w:val="heading 5"/>
    <w:basedOn w:val="1"/>
    <w:next w:val="1"/>
    <w:qFormat/>
    <w:uiPriority w:val="9"/>
    <w:pPr>
      <w:keepNext/>
      <w:keepLines/>
      <w:spacing w:before="280" w:after="290" w:line="376" w:lineRule="auto"/>
      <w:outlineLvl w:val="4"/>
    </w:pPr>
    <w:rPr>
      <w:b/>
      <w:bCs/>
      <w:sz w:val="28"/>
      <w:szCs w:val="28"/>
    </w:rPr>
  </w:style>
  <w:style w:type="character" w:default="1" w:styleId="22">
    <w:name w:val="Default Paragraph Font"/>
    <w:semiHidden/>
    <w:unhideWhenUsed/>
    <w:qFormat/>
    <w:uiPriority w:val="1"/>
  </w:style>
  <w:style w:type="table" w:default="1" w:styleId="20">
    <w:name w:val="Normal Table"/>
    <w:semiHidden/>
    <w:unhideWhenUsed/>
    <w:qFormat/>
    <w:uiPriority w:val="99"/>
    <w:tblPr>
      <w:tblCellMar>
        <w:top w:w="0" w:type="dxa"/>
        <w:left w:w="108" w:type="dxa"/>
        <w:bottom w:w="0" w:type="dxa"/>
        <w:right w:w="108" w:type="dxa"/>
      </w:tblCellMar>
    </w:tblPr>
  </w:style>
  <w:style w:type="paragraph" w:styleId="2">
    <w:name w:val="Body Text"/>
    <w:basedOn w:val="1"/>
    <w:qFormat/>
    <w:uiPriority w:val="0"/>
    <w:pPr>
      <w:spacing w:after="120"/>
    </w:pPr>
  </w:style>
  <w:style w:type="paragraph" w:styleId="7">
    <w:name w:val="Normal Indent"/>
    <w:basedOn w:val="1"/>
    <w:qFormat/>
    <w:uiPriority w:val="0"/>
    <w:pPr>
      <w:ind w:firstLine="420"/>
    </w:pPr>
    <w:rPr>
      <w:szCs w:val="20"/>
    </w:rPr>
  </w:style>
  <w:style w:type="paragraph" w:styleId="8">
    <w:name w:val="annotation text"/>
    <w:basedOn w:val="1"/>
    <w:qFormat/>
    <w:uiPriority w:val="0"/>
    <w:pPr>
      <w:jc w:val="left"/>
    </w:pPr>
  </w:style>
  <w:style w:type="paragraph" w:styleId="9">
    <w:name w:val="Body Text 3"/>
    <w:basedOn w:val="1"/>
    <w:qFormat/>
    <w:uiPriority w:val="0"/>
    <w:pPr>
      <w:spacing w:beforeLines="50"/>
    </w:pPr>
    <w:rPr>
      <w:rFonts w:ascii="宋体" w:hAnsi="宋体"/>
      <w:szCs w:val="20"/>
    </w:rPr>
  </w:style>
  <w:style w:type="paragraph" w:styleId="10">
    <w:name w:val="Body Text Indent"/>
    <w:basedOn w:val="1"/>
    <w:next w:val="11"/>
    <w:qFormat/>
    <w:uiPriority w:val="0"/>
    <w:pPr>
      <w:spacing w:after="120"/>
      <w:ind w:left="420" w:leftChars="200"/>
    </w:pPr>
  </w:style>
  <w:style w:type="paragraph" w:styleId="11">
    <w:name w:val="envelope return"/>
    <w:basedOn w:val="1"/>
    <w:unhideWhenUsed/>
    <w:qFormat/>
    <w:uiPriority w:val="99"/>
    <w:pPr>
      <w:snapToGrid w:val="0"/>
      <w:ind w:firstLine="200"/>
    </w:pPr>
    <w:rPr>
      <w:rFonts w:ascii="Arial" w:hAnsi="Arial" w:cs="Arial"/>
      <w:szCs w:val="20"/>
    </w:rPr>
  </w:style>
  <w:style w:type="paragraph" w:styleId="12">
    <w:name w:val="Plain Text"/>
    <w:basedOn w:val="1"/>
    <w:qFormat/>
    <w:uiPriority w:val="0"/>
    <w:rPr>
      <w:rFonts w:ascii="宋体" w:hAnsi="Courier New"/>
      <w:szCs w:val="20"/>
    </w:rPr>
  </w:style>
  <w:style w:type="paragraph" w:styleId="13">
    <w:name w:val="footer"/>
    <w:basedOn w:val="1"/>
    <w:qFormat/>
    <w:uiPriority w:val="99"/>
    <w:pPr>
      <w:tabs>
        <w:tab w:val="center" w:pos="4153"/>
        <w:tab w:val="right" w:pos="8306"/>
      </w:tabs>
      <w:snapToGrid w:val="0"/>
      <w:jc w:val="left"/>
    </w:pPr>
    <w:rPr>
      <w:sz w:val="18"/>
      <w:szCs w:val="18"/>
    </w:rPr>
  </w:style>
  <w:style w:type="paragraph" w:styleId="14">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5">
    <w:name w:val="toc 1"/>
    <w:basedOn w:val="1"/>
    <w:next w:val="1"/>
    <w:qFormat/>
    <w:uiPriority w:val="39"/>
    <w:pPr>
      <w:spacing w:before="120" w:after="120"/>
      <w:jc w:val="left"/>
    </w:pPr>
    <w:rPr>
      <w:rFonts w:cs="Calibri"/>
      <w:b/>
      <w:bCs/>
      <w:caps/>
      <w:sz w:val="20"/>
      <w:szCs w:val="20"/>
    </w:rPr>
  </w:style>
  <w:style w:type="paragraph" w:styleId="16">
    <w:name w:val="footnote text"/>
    <w:basedOn w:val="1"/>
    <w:unhideWhenUsed/>
    <w:qFormat/>
    <w:uiPriority w:val="0"/>
    <w:pPr>
      <w:snapToGrid w:val="0"/>
      <w:jc w:val="left"/>
    </w:pPr>
    <w:rPr>
      <w:sz w:val="18"/>
      <w:szCs w:val="18"/>
    </w:rPr>
  </w:style>
  <w:style w:type="paragraph" w:styleId="17">
    <w:name w:val="Normal (Web)"/>
    <w:basedOn w:val="1"/>
    <w:qFormat/>
    <w:uiPriority w:val="0"/>
    <w:pPr>
      <w:spacing w:before="100" w:beforeAutospacing="1" w:after="100" w:afterAutospacing="1"/>
    </w:pPr>
    <w:rPr>
      <w:rFonts w:ascii="宋体" w:hAnsi="宋体" w:cs="宋体"/>
      <w:sz w:val="24"/>
    </w:rPr>
  </w:style>
  <w:style w:type="paragraph" w:styleId="18">
    <w:name w:val="index 1"/>
    <w:basedOn w:val="1"/>
    <w:next w:val="1"/>
    <w:semiHidden/>
    <w:qFormat/>
    <w:uiPriority w:val="0"/>
    <w:pPr>
      <w:spacing w:line="220" w:lineRule="exact"/>
      <w:jc w:val="center"/>
    </w:pPr>
    <w:rPr>
      <w:rFonts w:ascii="仿宋_GB2312" w:eastAsia="仿宋_GB2312"/>
      <w:szCs w:val="21"/>
    </w:rPr>
  </w:style>
  <w:style w:type="paragraph" w:styleId="19">
    <w:name w:val="Body Text First Indent 2"/>
    <w:basedOn w:val="10"/>
    <w:unhideWhenUsed/>
    <w:qFormat/>
    <w:uiPriority w:val="99"/>
    <w:pPr>
      <w:ind w:firstLine="420" w:firstLineChars="200"/>
    </w:pPr>
  </w:style>
  <w:style w:type="table" w:styleId="21">
    <w:name w:val="Table Grid"/>
    <w:basedOn w:val="20"/>
    <w:qFormat/>
    <w:uiPriority w:val="59"/>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23">
    <w:name w:val="Strong"/>
    <w:qFormat/>
    <w:uiPriority w:val="0"/>
    <w:rPr>
      <w:b/>
      <w:bCs/>
    </w:rPr>
  </w:style>
  <w:style w:type="character" w:styleId="24">
    <w:name w:val="page number"/>
    <w:basedOn w:val="22"/>
    <w:qFormat/>
    <w:uiPriority w:val="0"/>
  </w:style>
  <w:style w:type="character" w:styleId="25">
    <w:name w:val="annotation reference"/>
    <w:qFormat/>
    <w:uiPriority w:val="0"/>
    <w:rPr>
      <w:sz w:val="21"/>
      <w:szCs w:val="21"/>
    </w:rPr>
  </w:style>
  <w:style w:type="character" w:styleId="26">
    <w:name w:val="footnote reference"/>
    <w:qFormat/>
    <w:uiPriority w:val="0"/>
    <w:rPr>
      <w:vertAlign w:val="superscript"/>
    </w:rPr>
  </w:style>
  <w:style w:type="character" w:customStyle="1" w:styleId="27">
    <w:name w:val="标题 2 字符"/>
    <w:link w:val="4"/>
    <w:qFormat/>
    <w:uiPriority w:val="0"/>
    <w:rPr>
      <w:rFonts w:ascii="Arial" w:hAnsi="Arial"/>
      <w:b/>
      <w:bCs/>
      <w:sz w:val="28"/>
      <w:szCs w:val="32"/>
    </w:rPr>
  </w:style>
  <w:style w:type="character" w:customStyle="1" w:styleId="28">
    <w:name w:val="font21"/>
    <w:qFormat/>
    <w:uiPriority w:val="0"/>
    <w:rPr>
      <w:rFonts w:hint="eastAsia" w:ascii="宋体" w:hAnsi="宋体" w:eastAsia="宋体" w:cs="宋体"/>
      <w:color w:val="000000"/>
      <w:sz w:val="24"/>
      <w:szCs w:val="24"/>
      <w:u w:val="none"/>
    </w:rPr>
  </w:style>
  <w:style w:type="character" w:customStyle="1" w:styleId="29">
    <w:name w:val="font31"/>
    <w:qFormat/>
    <w:uiPriority w:val="0"/>
    <w:rPr>
      <w:rFonts w:hint="eastAsia" w:ascii="宋体" w:hAnsi="宋体" w:eastAsia="宋体" w:cs="宋体"/>
      <w:color w:val="000000"/>
      <w:sz w:val="20"/>
      <w:szCs w:val="20"/>
      <w:u w:val="none"/>
    </w:rPr>
  </w:style>
  <w:style w:type="character" w:customStyle="1" w:styleId="30">
    <w:name w:val="font01"/>
    <w:qFormat/>
    <w:uiPriority w:val="0"/>
    <w:rPr>
      <w:rFonts w:hint="default" w:ascii="Times New Roman" w:hAnsi="Times New Roman" w:cs="Times New Roman"/>
      <w:color w:val="000000"/>
      <w:sz w:val="24"/>
      <w:szCs w:val="24"/>
      <w:u w:val="none"/>
    </w:rPr>
  </w:style>
  <w:style w:type="character" w:customStyle="1" w:styleId="31">
    <w:name w:val="font11"/>
    <w:qFormat/>
    <w:uiPriority w:val="0"/>
    <w:rPr>
      <w:rFonts w:hint="default" w:ascii="Times New Roman" w:hAnsi="Times New Roman" w:cs="Times New Roman"/>
      <w:color w:val="000000"/>
      <w:sz w:val="20"/>
      <w:szCs w:val="20"/>
      <w:u w:val="none"/>
    </w:rPr>
  </w:style>
  <w:style w:type="paragraph" w:customStyle="1" w:styleId="32">
    <w:name w:val="表格"/>
    <w:basedOn w:val="1"/>
    <w:qFormat/>
    <w:uiPriority w:val="0"/>
    <w:pPr>
      <w:textAlignment w:val="center"/>
    </w:pPr>
    <w:rPr>
      <w:rFonts w:ascii="华文细黑" w:hAnsi="华文细黑"/>
      <w:kern w:val="0"/>
      <w:szCs w:val="20"/>
    </w:rPr>
  </w:style>
  <w:style w:type="paragraph" w:customStyle="1" w:styleId="33">
    <w:name w:val="Default"/>
    <w:qFormat/>
    <w:uiPriority w:val="0"/>
    <w:pPr>
      <w:widowControl w:val="0"/>
      <w:autoSpaceDE w:val="0"/>
      <w:autoSpaceDN w:val="0"/>
    </w:pPr>
    <w:rPr>
      <w:rFonts w:hint="eastAsia" w:ascii="Fang Song" w:hAnsi="Fang Song" w:eastAsia="Fang Song" w:cs="Times New Roman"/>
      <w:color w:val="000000"/>
      <w:sz w:val="24"/>
      <w:lang w:val="en-US" w:eastAsia="zh-CN" w:bidi="ar-SA"/>
    </w:rPr>
  </w:style>
  <w:style w:type="paragraph" w:customStyle="1" w:styleId="34">
    <w:name w:val="6'"/>
    <w:basedOn w:val="1"/>
    <w:qFormat/>
    <w:uiPriority w:val="0"/>
    <w:pPr>
      <w:autoSpaceDE w:val="0"/>
      <w:autoSpaceDN w:val="0"/>
      <w:adjustRightInd w:val="0"/>
      <w:snapToGrid w:val="0"/>
      <w:spacing w:line="320" w:lineRule="exact"/>
      <w:jc w:val="center"/>
      <w:textAlignment w:val="baseline"/>
    </w:pPr>
    <w:rPr>
      <w:spacing w:val="20"/>
      <w:kern w:val="28"/>
      <w:szCs w:val="20"/>
    </w:rPr>
  </w:style>
  <w:style w:type="paragraph" w:customStyle="1" w:styleId="35">
    <w:name w:val="列出段落1"/>
    <w:basedOn w:val="1"/>
    <w:qFormat/>
    <w:uiPriority w:val="99"/>
    <w:rPr>
      <w:rFonts w:ascii="Times New Roman" w:hAnsi="Times New Roman"/>
    </w:rPr>
  </w:style>
  <w:style w:type="paragraph" w:customStyle="1" w:styleId="36">
    <w:name w:val="WPSOffice手动目录 1"/>
    <w:qFormat/>
    <w:uiPriority w:val="0"/>
    <w:rPr>
      <w:rFonts w:ascii="Calibri" w:hAnsi="Calibri" w:eastAsia="宋体" w:cs="Times New Roman"/>
      <w:lang w:val="en-US" w:eastAsia="zh-CN" w:bidi="ar-SA"/>
    </w:rPr>
  </w:style>
  <w:style w:type="paragraph" w:customStyle="1" w:styleId="37">
    <w:name w:val="正文 题目"/>
    <w:basedOn w:val="1"/>
    <w:qFormat/>
    <w:uiPriority w:val="0"/>
    <w:pPr>
      <w:jc w:val="center"/>
    </w:pPr>
    <w:rPr>
      <w:rFonts w:ascii="黑体" w:hAnsi="黑体" w:eastAsia="黑体"/>
      <w:sz w:val="28"/>
    </w:rPr>
  </w:style>
  <w:style w:type="paragraph" w:customStyle="1" w:styleId="38">
    <w:name w:val="WPSOffice手动目录 2"/>
    <w:qFormat/>
    <w:uiPriority w:val="0"/>
    <w:pPr>
      <w:ind w:left="200" w:leftChars="200"/>
    </w:pPr>
    <w:rPr>
      <w:rFonts w:ascii="Calibri" w:hAnsi="Calibri" w:eastAsia="宋体" w:cs="Times New Roman"/>
      <w:lang w:val="en-US" w:eastAsia="zh-CN" w:bidi="ar-SA"/>
    </w:rPr>
  </w:style>
  <w:style w:type="paragraph" w:customStyle="1" w:styleId="39">
    <w:name w:val="largefont style1"/>
    <w:basedOn w:val="1"/>
    <w:qFormat/>
    <w:uiPriority w:val="0"/>
    <w:pPr>
      <w:widowControl/>
      <w:spacing w:beforeAutospacing="1" w:afterAutospacing="1" w:line="360" w:lineRule="auto"/>
      <w:ind w:firstLine="480"/>
      <w:jc w:val="left"/>
    </w:pPr>
    <w:rPr>
      <w:rFonts w:ascii="宋体" w:hAnsi="宋体"/>
      <w:kern w:val="0"/>
      <w:sz w:val="24"/>
    </w:rPr>
  </w:style>
  <w:style w:type="paragraph" w:customStyle="1" w:styleId="40">
    <w:name w:val="（叙述性）内文"/>
    <w:basedOn w:val="41"/>
    <w:qFormat/>
    <w:uiPriority w:val="0"/>
    <w:pPr>
      <w:spacing w:after="45" w:line="360" w:lineRule="atLeast"/>
      <w:ind w:firstLine="397"/>
    </w:pPr>
    <w:rPr>
      <w:rFonts w:ascii="方正宋一简体" w:hAnsi="方正宋一简体" w:eastAsia="黑体" w:cs="方正宋一简体"/>
      <w:sz w:val="19"/>
      <w:szCs w:val="19"/>
    </w:rPr>
  </w:style>
  <w:style w:type="paragraph" w:customStyle="1" w:styleId="41">
    <w:name w:val="[No paragraph style]"/>
    <w:qFormat/>
    <w:uiPriority w:val="6"/>
    <w:pPr>
      <w:widowControl w:val="0"/>
      <w:spacing w:line="288" w:lineRule="auto"/>
      <w:jc w:val="both"/>
    </w:pPr>
    <w:rPr>
      <w:rFonts w:ascii="宋体" w:hAnsi="宋体" w:eastAsia="宋体" w:cs="宋体"/>
      <w:color w:val="000000"/>
      <w:sz w:val="24"/>
      <w:szCs w:val="24"/>
      <w:lang w:val="zh-CN" w:eastAsia="zh-CN" w:bidi="ar-SA"/>
    </w:rPr>
  </w:style>
  <w:style w:type="paragraph" w:customStyle="1" w:styleId="42">
    <w:name w:val="Table Paragraph"/>
    <w:basedOn w:val="1"/>
    <w:qFormat/>
    <w:uiPriority w:val="1"/>
    <w:pPr>
      <w:spacing w:before="80"/>
      <w:ind w:left="107"/>
    </w:pPr>
    <w:rPr>
      <w:rFonts w:ascii="宋体" w:hAnsi="宋体" w:cs="宋体"/>
      <w:lang w:val="zh-CN" w:bidi="zh-CN"/>
    </w:rPr>
  </w:style>
  <w:style w:type="paragraph" w:styleId="43">
    <w:name w:val="List Paragraph"/>
    <w:basedOn w:val="1"/>
    <w:qFormat/>
    <w:uiPriority w:val="0"/>
    <w:pPr>
      <w:ind w:firstLine="420" w:firstLineChars="200"/>
    </w:pPr>
    <w:rPr>
      <w:szCs w:val="22"/>
    </w:rPr>
  </w:style>
  <w:style w:type="character" w:customStyle="1" w:styleId="44">
    <w:name w:val="font71"/>
    <w:basedOn w:val="22"/>
    <w:qFormat/>
    <w:uiPriority w:val="0"/>
    <w:rPr>
      <w:rFonts w:hint="eastAsia" w:ascii="宋体" w:hAnsi="宋体" w:eastAsia="宋体" w:cs="宋体"/>
      <w:color w:val="000000"/>
      <w:sz w:val="22"/>
      <w:szCs w:val="22"/>
      <w:u w:val="none"/>
    </w:rPr>
  </w:style>
  <w:style w:type="character" w:customStyle="1" w:styleId="45">
    <w:name w:val="font51"/>
    <w:basedOn w:val="22"/>
    <w:qFormat/>
    <w:uiPriority w:val="0"/>
    <w:rPr>
      <w:rFonts w:hint="eastAsia" w:ascii="宋体" w:hAnsi="宋体" w:eastAsia="宋体" w:cs="宋体"/>
      <w:color w:val="000000"/>
      <w:sz w:val="22"/>
      <w:szCs w:val="22"/>
      <w:u w:val="none"/>
    </w:rPr>
  </w:style>
  <w:style w:type="character" w:customStyle="1" w:styleId="46">
    <w:name w:val="font61"/>
    <w:basedOn w:val="22"/>
    <w:qFormat/>
    <w:uiPriority w:val="0"/>
    <w:rPr>
      <w:rFonts w:hint="default" w:ascii="Times New Roman" w:hAnsi="Times New Roman" w:cs="Times New Roman"/>
      <w:color w:val="000000"/>
      <w:sz w:val="22"/>
      <w:szCs w:val="22"/>
      <w:u w:val="none"/>
    </w:rPr>
  </w:style>
  <w:style w:type="table" w:customStyle="1" w:styleId="47">
    <w:name w:val="Table Normal"/>
    <w:unhideWhenUsed/>
    <w:qFormat/>
    <w:uiPriority w:val="0"/>
    <w:tblPr>
      <w:tblCellMar>
        <w:top w:w="0" w:type="dxa"/>
        <w:left w:w="0" w:type="dxa"/>
        <w:bottom w:w="0" w:type="dxa"/>
        <w:right w:w="0" w:type="dxa"/>
      </w:tblCellMar>
    </w:tblPr>
  </w:style>
  <w:style w:type="character" w:customStyle="1" w:styleId="48">
    <w:name w:val="font91"/>
    <w:basedOn w:val="22"/>
    <w:qFormat/>
    <w:uiPriority w:val="0"/>
    <w:rPr>
      <w:rFonts w:hint="eastAsia" w:ascii="宋体" w:hAnsi="宋体" w:eastAsia="宋体" w:cs="宋体"/>
      <w:b/>
      <w:bCs/>
      <w:color w:val="000000"/>
      <w:sz w:val="40"/>
      <w:szCs w:val="40"/>
      <w:u w:val="none"/>
    </w:rPr>
  </w:style>
  <w:style w:type="character" w:customStyle="1" w:styleId="49">
    <w:name w:val="font101"/>
    <w:basedOn w:val="22"/>
    <w:qFormat/>
    <w:uiPriority w:val="0"/>
    <w:rPr>
      <w:rFonts w:hint="eastAsia" w:ascii="宋体" w:hAnsi="宋体" w:eastAsia="宋体" w:cs="宋体"/>
      <w:b/>
      <w:bCs/>
      <w:color w:val="000000"/>
      <w:sz w:val="22"/>
      <w:szCs w:val="22"/>
      <w:u w:val="none"/>
    </w:rPr>
  </w:style>
  <w:style w:type="character" w:customStyle="1" w:styleId="50">
    <w:name w:val="font41"/>
    <w:basedOn w:val="22"/>
    <w:qFormat/>
    <w:uiPriority w:val="0"/>
    <w:rPr>
      <w:rFonts w:hint="default" w:ascii="Times New Roman" w:hAnsi="Times New Roman" w:cs="Times New Roman"/>
      <w:color w:val="000000"/>
      <w:sz w:val="22"/>
      <w:szCs w:val="22"/>
      <w:u w:val="none"/>
    </w:rPr>
  </w:style>
  <w:style w:type="character" w:customStyle="1" w:styleId="51">
    <w:name w:val="font112"/>
    <w:basedOn w:val="22"/>
    <w:qFormat/>
    <w:uiPriority w:val="0"/>
    <w:rPr>
      <w:rFonts w:hint="eastAsia" w:ascii="宋体" w:hAnsi="宋体" w:eastAsia="宋体" w:cs="宋体"/>
      <w:color w:val="000000"/>
      <w:sz w:val="22"/>
      <w:szCs w:val="22"/>
      <w:u w:val="none"/>
    </w:rPr>
  </w:style>
  <w:style w:type="character" w:customStyle="1" w:styleId="52">
    <w:name w:val="font121"/>
    <w:basedOn w:val="22"/>
    <w:qFormat/>
    <w:uiPriority w:val="0"/>
    <w:rPr>
      <w:rFonts w:hint="eastAsia" w:ascii="宋体" w:hAnsi="宋体" w:eastAsia="宋体" w:cs="宋体"/>
      <w:color w:val="000000"/>
      <w:sz w:val="20"/>
      <w:szCs w:val="20"/>
      <w:u w:val="none"/>
    </w:rPr>
  </w:style>
  <w:style w:type="character" w:customStyle="1" w:styleId="53">
    <w:name w:val="font81"/>
    <w:basedOn w:val="22"/>
    <w:qFormat/>
    <w:uiPriority w:val="0"/>
    <w:rPr>
      <w:rFonts w:hint="default" w:ascii="Times New Roman" w:hAnsi="Times New Roman" w:cs="Times New Roman"/>
      <w:color w:val="000000"/>
      <w:sz w:val="24"/>
      <w:szCs w:val="24"/>
      <w:u w:val="none"/>
    </w:rPr>
  </w:style>
  <w:style w:type="character" w:customStyle="1" w:styleId="54">
    <w:name w:val="font122"/>
    <w:basedOn w:val="22"/>
    <w:qFormat/>
    <w:uiPriority w:val="0"/>
    <w:rPr>
      <w:rFonts w:hint="eastAsia" w:ascii="宋体" w:hAnsi="宋体" w:eastAsia="宋体" w:cs="宋体"/>
      <w:color w:val="000000"/>
      <w:sz w:val="24"/>
      <w:szCs w:val="24"/>
      <w:u w:val="none"/>
    </w:rPr>
  </w:style>
  <w:style w:type="paragraph" w:customStyle="1" w:styleId="55">
    <w:name w:val="修订1"/>
    <w:hidden/>
    <w:unhideWhenUsed/>
    <w:qFormat/>
    <w:uiPriority w:val="99"/>
    <w:rPr>
      <w:rFonts w:ascii="Calibri" w:hAnsi="Calibri" w:eastAsia="宋体" w:cs="Times New Roman"/>
      <w:kern w:val="2"/>
      <w:sz w:val="21"/>
      <w:szCs w:val="24"/>
      <w:lang w:val="en-US" w:eastAsia="zh-CN" w:bidi="ar-SA"/>
    </w:rPr>
  </w:style>
  <w:style w:type="paragraph" w:customStyle="1" w:styleId="56">
    <w:name w:val="Revision"/>
    <w:hidden/>
    <w:unhideWhenUsed/>
    <w:qFormat/>
    <w:uiPriority w:val="99"/>
    <w:rPr>
      <w:rFonts w:ascii="Calibri" w:hAnsi="Calibri" w:eastAsia="宋体" w:cs="Times New Roman"/>
      <w:kern w:val="2"/>
      <w:sz w:val="21"/>
      <w:szCs w:val="24"/>
      <w:lang w:val="en-US" w:eastAsia="zh-CN" w:bidi="ar-SA"/>
    </w:rPr>
  </w:style>
</w:styles>
</file>

<file path=word/_rels/document.xml.rels><?xml version="1.0" encoding="UTF-8" standalone="yes"?>
<Relationships xmlns="http://schemas.openxmlformats.org/package/2006/relationships"><Relationship Id="rId9" Type="http://schemas.openxmlformats.org/officeDocument/2006/relationships/header" Target="header3.xml"/><Relationship Id="rId8" Type="http://schemas.openxmlformats.org/officeDocument/2006/relationships/footer" Target="footer4.xml"/><Relationship Id="rId7" Type="http://schemas.openxmlformats.org/officeDocument/2006/relationships/header" Target="header2.xml"/><Relationship Id="rId6" Type="http://schemas.openxmlformats.org/officeDocument/2006/relationships/footer" Target="footer3.xml"/><Relationship Id="rId5" Type="http://schemas.openxmlformats.org/officeDocument/2006/relationships/footer" Target="footer2.xml"/><Relationship Id="rId4" Type="http://schemas.openxmlformats.org/officeDocument/2006/relationships/footer" Target="footer1.xml"/><Relationship Id="rId3" Type="http://schemas.openxmlformats.org/officeDocument/2006/relationships/header" Target="header1.xml"/><Relationship Id="rId20" Type="http://schemas.openxmlformats.org/officeDocument/2006/relationships/fontTable" Target="fontTable.xml"/><Relationship Id="rId2" Type="http://schemas.openxmlformats.org/officeDocument/2006/relationships/settings" Target="settings.xml"/><Relationship Id="rId19" Type="http://schemas.openxmlformats.org/officeDocument/2006/relationships/numbering" Target="numbering.xml"/><Relationship Id="rId18" Type="http://schemas.openxmlformats.org/officeDocument/2006/relationships/customXml" Target="../customXml/item1.xml"/><Relationship Id="rId17" Type="http://schemas.openxmlformats.org/officeDocument/2006/relationships/theme" Target="theme/theme1.xml"/><Relationship Id="rId16" Type="http://schemas.openxmlformats.org/officeDocument/2006/relationships/footer" Target="footer9.xml"/><Relationship Id="rId15" Type="http://schemas.openxmlformats.org/officeDocument/2006/relationships/header" Target="header5.xml"/><Relationship Id="rId14" Type="http://schemas.openxmlformats.org/officeDocument/2006/relationships/footer" Target="footer8.xml"/><Relationship Id="rId13" Type="http://schemas.openxmlformats.org/officeDocument/2006/relationships/header" Target="header4.xml"/><Relationship Id="rId12" Type="http://schemas.openxmlformats.org/officeDocument/2006/relationships/footer" Target="footer7.xml"/><Relationship Id="rId11" Type="http://schemas.openxmlformats.org/officeDocument/2006/relationships/footer" Target="footer6.xml"/><Relationship Id="rId10" Type="http://schemas.openxmlformats.org/officeDocument/2006/relationships/footer" Target="footer5.xml"/><Relationship Id="rId1" Type="http://schemas.openxmlformats.org/officeDocument/2006/relationships/styles" Target="styles.xml"/></Relationships>
</file>

<file path=word/_rels/fontTable.xml.rels><?xml version="1.0" encoding="UTF-8" standalone="yes"?>
<Relationships xmlns="http://schemas.openxmlformats.org/package/2006/relationships"><Relationship Id="rId8" Type="http://schemas.openxmlformats.org/officeDocument/2006/relationships/font" Target="fonts/font8.odttf"/><Relationship Id="rId7" Type="http://schemas.openxmlformats.org/officeDocument/2006/relationships/font" Target="fonts/font7.odttf"/><Relationship Id="rId6" Type="http://schemas.openxmlformats.org/officeDocument/2006/relationships/font" Target="fonts/font6.odttf"/><Relationship Id="rId5" Type="http://schemas.openxmlformats.org/officeDocument/2006/relationships/font" Target="fonts/font5.odttf"/><Relationship Id="rId4" Type="http://schemas.openxmlformats.org/officeDocument/2006/relationships/font" Target="fonts/font4.odttf"/><Relationship Id="rId3" Type="http://schemas.openxmlformats.org/officeDocument/2006/relationships/font" Target="fonts/font3.odttf"/><Relationship Id="rId2" Type="http://schemas.openxmlformats.org/officeDocument/2006/relationships/font" Target="fonts/font2.odttf"/><Relationship Id="rId1" Type="http://schemas.openxmlformats.org/officeDocument/2006/relationships/font" Target="fonts/font1.odttf"/></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57</Pages>
  <Words>11323</Words>
  <Characters>12059</Characters>
  <Lines>153</Lines>
  <Paragraphs>43</Paragraphs>
  <TotalTime>46</TotalTime>
  <ScaleCrop>false</ScaleCrop>
  <LinksUpToDate>false</LinksUpToDate>
  <CharactersWithSpaces>12529</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2025-03-25T04:08:00Z</dcterms:created>
  <dc:creator>huajie</dc:creator>
  <cp:lastModifiedBy>j.sc</cp:lastModifiedBy>
  <dcterms:modified xsi:type="dcterms:W3CDTF">2025-03-25T06:12:51Z</dcterms:modified>
  <cp:revision>2</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ICV">
    <vt:lpwstr>09D327CAE4D3463D8284D8AD40DE7463_13</vt:lpwstr>
  </property>
  <property fmtid="{D5CDD505-2E9C-101B-9397-08002B2CF9AE}" pid="4" name="KSOTemplateDocerSaveRecord">
    <vt:lpwstr>eyJoZGlkIjoiYmM4ZjcxZDEyYTI0YjRhNTJlNzkxNTVhMTY2ZWNjMjIiLCJ1c2VySWQiOiIyNTQ0MTQzMDMifQ==</vt:lpwstr>
  </property>
</Properties>
</file>